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DD" w:rsidRDefault="00FD49DD" w:rsidP="00FD49DD">
      <w:pPr>
        <w:pStyle w:val="a3"/>
        <w:shd w:val="clear" w:color="auto" w:fill="FFFFFF"/>
        <w:wordWrap w:val="0"/>
        <w:spacing w:before="0" w:beforeAutospacing="0" w:after="225" w:afterAutospacing="0"/>
        <w:rPr>
          <w:color w:val="333333"/>
          <w:sz w:val="21"/>
          <w:szCs w:val="21"/>
        </w:rPr>
      </w:pPr>
      <w:r>
        <w:rPr>
          <w:rFonts w:hint="eastAsia"/>
          <w:color w:val="333333"/>
          <w:sz w:val="21"/>
          <w:szCs w:val="21"/>
        </w:rPr>
        <w:t>附件：</w:t>
      </w:r>
    </w:p>
    <w:p w:rsidR="00FD49DD" w:rsidRPr="00FD49DD" w:rsidRDefault="00FD49DD" w:rsidP="00FD49DD">
      <w:pPr>
        <w:pStyle w:val="a3"/>
        <w:shd w:val="clear" w:color="auto" w:fill="FFFFFF"/>
        <w:wordWrap w:val="0"/>
        <w:spacing w:before="0" w:beforeAutospacing="0" w:after="225" w:afterAutospacing="0"/>
        <w:jc w:val="center"/>
        <w:rPr>
          <w:rFonts w:hint="eastAsia"/>
          <w:b/>
          <w:color w:val="333333"/>
          <w:sz w:val="28"/>
          <w:szCs w:val="28"/>
        </w:rPr>
      </w:pPr>
      <w:r w:rsidRPr="00FD49DD">
        <w:rPr>
          <w:rFonts w:hint="eastAsia"/>
          <w:b/>
          <w:color w:val="FF0000"/>
          <w:sz w:val="28"/>
          <w:szCs w:val="28"/>
        </w:rPr>
        <w:t>政府会计准则第8号——负债</w:t>
      </w: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t>第一章 总则</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第一条</w:t>
      </w:r>
      <w:r>
        <w:rPr>
          <w:rFonts w:hint="eastAsia"/>
          <w:color w:val="333333"/>
          <w:sz w:val="21"/>
          <w:szCs w:val="21"/>
        </w:rPr>
        <w:t xml:space="preserve"> 为了规范负债的确认、计量和相关信息的披露，根据《</w:t>
      </w:r>
      <w:hyperlink r:id="rId4" w:history="1">
        <w:r>
          <w:rPr>
            <w:rStyle w:val="a5"/>
            <w:rFonts w:hint="eastAsia"/>
            <w:color w:val="FF0000"/>
            <w:sz w:val="21"/>
            <w:szCs w:val="21"/>
            <w:u w:val="none"/>
          </w:rPr>
          <w:t>政府会计准则——基本准则</w:t>
        </w:r>
      </w:hyperlink>
      <w:r>
        <w:rPr>
          <w:rFonts w:hint="eastAsia"/>
          <w:color w:val="333333"/>
          <w:sz w:val="21"/>
          <w:szCs w:val="21"/>
        </w:rPr>
        <w:t>》，制定本准则。</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第二条</w:t>
      </w:r>
      <w:r>
        <w:rPr>
          <w:rFonts w:hint="eastAsia"/>
          <w:color w:val="333333"/>
          <w:sz w:val="21"/>
          <w:szCs w:val="21"/>
        </w:rPr>
        <w:t xml:space="preserve"> 本准则所称负债，是指政府会计主体过去的经济业务或者事项形成的，预期会导致经济资源流出政府会计主体的现时义务。</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现时义务，是指政府会计主体在现行条件下已承担的义务。未来发生的经济业务或者事项形成的义务不属于现时义务，不应当确认为负债。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第三条</w:t>
      </w:r>
      <w:r>
        <w:rPr>
          <w:rFonts w:hint="eastAsia"/>
          <w:color w:val="333333"/>
          <w:sz w:val="21"/>
          <w:szCs w:val="21"/>
        </w:rPr>
        <w:t xml:space="preserve"> 符合本准则第二条规定的负债定义的义务，在同时满足以下条件时，确认为负债：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（一）履行该义务很可能导致含有服务潜力或者经济利益的经济资源流出政府会计主体；</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（二）该义务的金额能够可靠地计量。</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第四条</w:t>
      </w:r>
      <w:r>
        <w:rPr>
          <w:rFonts w:hint="eastAsia"/>
          <w:color w:val="333333"/>
          <w:sz w:val="21"/>
          <w:szCs w:val="21"/>
        </w:rPr>
        <w:t xml:space="preserve"> 政府会计主体的负债按照流动性，分为流动负债和非流动负债。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流动负债是指预计在1年内（含1年）偿还的负债，包括短期借款、应付短期政府债券、应付及预收款项、应缴款项等。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非流动负债是指流动负债以外的负债，包括长期借款、长期应付款、应付长期政府债券等。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第五条</w:t>
      </w:r>
      <w:r>
        <w:rPr>
          <w:rFonts w:hint="eastAsia"/>
          <w:color w:val="333333"/>
          <w:sz w:val="21"/>
          <w:szCs w:val="21"/>
        </w:rPr>
        <w:t xml:space="preserve"> 政府会计主体的负债包括偿还时间与金额基本确定的负债和由或有事项形成的预计负债。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偿还时间与金额基本确定的负债按政府会计主体的业务性质及风险程度，分为融资活动形成的举借债务及其应付利息、运营活动形成的应付及预收款项和暂收性负债。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第六条 本准则规范政府会计主体负债的一般情况。其他政府会计准则对政府会计主体的特定负债做出专门规定的，从其规定。</w:t>
      </w: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t>第二章 举借债务</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第七条</w:t>
      </w:r>
      <w:r>
        <w:rPr>
          <w:rFonts w:hint="eastAsia"/>
          <w:color w:val="333333"/>
          <w:sz w:val="21"/>
          <w:szCs w:val="21"/>
        </w:rPr>
        <w:t xml:space="preserve"> 举借债务是指政府会计主体通过融资活动借入的债务，包括政府举借的债务以及其他政府会计主体借入的款项。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政府举借的债务包括政府发行的政府债券，向外国政府、国际经济组织等借入的款项，以及向上级政府借入转贷资金形成的借入转贷款。</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其他政府会计主体借入的款项是指除政府以外的其他政府会计主体从银行或其他金融机构等借入的款项。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第八条</w:t>
      </w:r>
      <w:r>
        <w:rPr>
          <w:rFonts w:hint="eastAsia"/>
          <w:color w:val="333333"/>
          <w:sz w:val="21"/>
          <w:szCs w:val="21"/>
        </w:rPr>
        <w:t xml:space="preserve"> 对于举借债务，政府会计主体应当在与债权人签订借款合同或协议并取得举借资金时确认为负债。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lastRenderedPageBreak/>
        <w:t>第九条</w:t>
      </w:r>
      <w:r>
        <w:rPr>
          <w:rFonts w:hint="eastAsia"/>
          <w:color w:val="333333"/>
          <w:sz w:val="21"/>
          <w:szCs w:val="21"/>
        </w:rPr>
        <w:t xml:space="preserve"> 举借债务初始确认为负债时，应当按照实际发生额计量。</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对于借入款项，初始确认为负债时应当按照借款本金计量；借款本金与取得的借款资金的差额应当计入当期费用。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对于发行的政府债券，初始确认为负债时应当按照债券本金计量；债券本金与发行价款的差额应当计入当期费用。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第十条</w:t>
      </w:r>
      <w:r>
        <w:rPr>
          <w:rFonts w:hint="eastAsia"/>
          <w:color w:val="333333"/>
          <w:sz w:val="21"/>
          <w:szCs w:val="21"/>
        </w:rPr>
        <w:t xml:space="preserve"> 政府会计主体应当按照借款本金（或债券本金）和合同或协议约定的利率（或债券票面利率）按期计提举借债务的利息。</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对于属于流动负债的举借债务以及属于非流动负债的分期付息、一次还本的举借债务，应当将计算确定的应付未付利息确认为流动负债，计入应付利息；对于其他举借债务，应当将计算确定的应付未付利息确认为非流动负债，计入相关非流动负债的账面余额。</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第十一条</w:t>
      </w:r>
      <w:r>
        <w:rPr>
          <w:rFonts w:hint="eastAsia"/>
          <w:color w:val="333333"/>
          <w:sz w:val="21"/>
          <w:szCs w:val="21"/>
        </w:rPr>
        <w:t xml:space="preserve"> 政府会计主体应当按照本准则第十二条、第十三条的规定，将因举借债务发生的借款费用分别计入工程成本或当期费用。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借款费用，是指政府会计主体因举借债务而发生的利息及其他相关费用，包括借款利息、辅助费用以及因外币借款而发生的汇兑差额等。其中，辅助费用是指政府会计主体在举借债务过程中发生的手续费、佣金等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第十二条</w:t>
      </w:r>
      <w:r>
        <w:rPr>
          <w:rFonts w:hint="eastAsia"/>
          <w:color w:val="333333"/>
          <w:sz w:val="21"/>
          <w:szCs w:val="21"/>
        </w:rPr>
        <w:t xml:space="preserve"> 政府以外的其他政府会计主体为购建固定资产等工程项目借入专门借款的，对于发生的专门借款费用，应当按照借款费用减去尚未动用的借款资金产生的利息收入后的金额，属于工程项目建设期间发生的，计入工程成本；不属于工程项目建设期间发生的，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工程项目建设期间是指自工程项目开始建造起至交付使用时止的期间。</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工程项目建设期间发生非正常中断且中断时间连续超过3个月（含3个月）的，政府会计主体应当将非正常中断期间的借款费用计入当期费用。如果中断是使工程项目达到交付使用所必须的程序，则中断期间所发生的借款费用仍应计入工程成本。</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第十三条</w:t>
      </w:r>
      <w:r>
        <w:rPr>
          <w:rFonts w:hint="eastAsia"/>
          <w:color w:val="333333"/>
          <w:sz w:val="21"/>
          <w:szCs w:val="21"/>
        </w:rPr>
        <w:t xml:space="preserve"> 政府会计主体因举借债务所发生的除本准则第十二条规定外的借款费用（包括政府举借的债务和其他政府会计主体的非专门借款所发生的借款费用），应当计入当期费用。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第十四条</w:t>
      </w:r>
      <w:r>
        <w:rPr>
          <w:rFonts w:hint="eastAsia"/>
          <w:color w:val="333333"/>
          <w:sz w:val="21"/>
          <w:szCs w:val="21"/>
        </w:rPr>
        <w:t xml:space="preserve"> 政府会计主体应当在偿还举借债务本息时，冲减相关负债的账面余额。</w:t>
      </w:r>
    </w:p>
    <w:p w:rsidR="00FD49DD" w:rsidRPr="00FD49DD" w:rsidRDefault="00FD49DD" w:rsidP="00FD49DD">
      <w:pPr>
        <w:pStyle w:val="a3"/>
        <w:shd w:val="clear" w:color="auto" w:fill="FFFFFF"/>
        <w:spacing w:before="0" w:beforeAutospacing="0" w:after="225" w:afterAutospacing="0"/>
        <w:jc w:val="center"/>
        <w:rPr>
          <w:rFonts w:hint="eastAsia"/>
          <w:b/>
          <w:color w:val="333333"/>
          <w:sz w:val="21"/>
          <w:szCs w:val="21"/>
        </w:rPr>
      </w:pPr>
      <w:r w:rsidRPr="00FD49DD">
        <w:rPr>
          <w:rStyle w:val="a4"/>
          <w:rFonts w:hint="eastAsia"/>
          <w:color w:val="333333"/>
          <w:sz w:val="21"/>
          <w:szCs w:val="21"/>
        </w:rPr>
        <w:t>第三章 应付及预收款项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第十五条</w:t>
      </w:r>
      <w:r>
        <w:rPr>
          <w:rFonts w:hint="eastAsia"/>
          <w:color w:val="333333"/>
          <w:sz w:val="21"/>
          <w:szCs w:val="21"/>
        </w:rPr>
        <w:t xml:space="preserve"> 应付及预收款项，是指政府会计主体在运营活动中形成的应当支付而尚未支付的款项及预先收到但尚未实现收入的款项，包括应付职工薪酬、应付账款、预收款项、应交税费、应付国库集中支付结余和其他应付未付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应付职工薪酬，是指政府会计主体为获得职工（含长期聘用人员）提供的服务而给予各种形式的报酬或因辞退等原因而给予职工补偿所形成的负债。职工薪酬包括工资、津贴补贴、奖金、社会保险费等。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应付账款，是指政府会计主体因取得资产、接受劳务、开展工程建设等而形成的负债。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lastRenderedPageBreak/>
        <w:t>预收款项，是指政府会计主体按照货物、服务合同或协议或者相关规定，向接受货物或服务的主体预先收款而形成的负债。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应交税费，是指政府会计主体因发生应税事项导致承担纳税义务而形成的负债。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应付国库集中支付结余，是指国库集中支付中，按照财政部门批复的部门预算，政府会计主体（政府财政）当年未支而需结转下一年度支付款项而形成的负债。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其他应付未付款项，是指政府会计主体因有关政策明确要求其承担支出责任等而形成的应付未付款项。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第十六条</w:t>
      </w:r>
      <w:r>
        <w:rPr>
          <w:rFonts w:hint="eastAsia"/>
          <w:color w:val="333333"/>
          <w:sz w:val="21"/>
          <w:szCs w:val="21"/>
        </w:rPr>
        <w:t xml:space="preserve"> 除因辞退等原因给予职工的补偿外，政府会计主体应当在职工为其提供服务的会计期间，将应支付的职工薪酬确认为负债，除本条第二款规定外，计入当期费用。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政府会计主体应当根据职工提供服务的受益对象，将下列职工薪酬分情况处理：</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（一）应由自制物品负担的职工薪酬，计入自制物品成本。</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（二）应由工程项目负担的职工薪酬，比照本准则第十二条有关借款费用的处理原则计入工程成本或当期费用。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（三）应由自行研发项目负担的职工薪酬，在研究阶段发生的，计入当期费用；在开发阶段发生并且最终形成无形资产的，计入无形资产成本。</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第十七条</w:t>
      </w:r>
      <w:r>
        <w:rPr>
          <w:rFonts w:hint="eastAsia"/>
          <w:color w:val="333333"/>
          <w:sz w:val="21"/>
          <w:szCs w:val="21"/>
        </w:rPr>
        <w:t xml:space="preserve"> 政府会计主体按照有关规定为职工缴纳的医疗保险费、养老保险费、职业年金等社会保险费和住房公积金，应当在职工为其提供服务的会计期间，根据有关规定加以计算并确认为负债，具体按照本准则第十六条的规定处理。</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第十八条 </w:t>
      </w:r>
      <w:r>
        <w:rPr>
          <w:rFonts w:hint="eastAsia"/>
          <w:color w:val="333333"/>
          <w:sz w:val="21"/>
          <w:szCs w:val="21"/>
        </w:rPr>
        <w:t>政府会计主体因辞退等原因给予职工的补偿，应当于相关补偿金额报经批准时确认为负债，并计入当期费用。</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第十九条 </w:t>
      </w:r>
      <w:r>
        <w:rPr>
          <w:rFonts w:hint="eastAsia"/>
          <w:color w:val="333333"/>
          <w:sz w:val="21"/>
          <w:szCs w:val="21"/>
        </w:rPr>
        <w:t>对于应付账款，政府会计主体应当在取得资产、接受劳务，或外包工程完成规定进度时，按照应付未付款项的金额予以确认。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第二十条</w:t>
      </w:r>
      <w:r>
        <w:rPr>
          <w:rFonts w:hint="eastAsia"/>
          <w:color w:val="333333"/>
          <w:sz w:val="21"/>
          <w:szCs w:val="21"/>
        </w:rPr>
        <w:t xml:space="preserve"> 对于预收款项，政府会计主体应当在收到预收款项时，按照实际收到款项的金额予以确认。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第二十一条 </w:t>
      </w:r>
      <w:r>
        <w:rPr>
          <w:rFonts w:hint="eastAsia"/>
          <w:color w:val="333333"/>
          <w:sz w:val="21"/>
          <w:szCs w:val="21"/>
        </w:rPr>
        <w:t>对于应交税费，政府会计主体应当在发生应税事项导致承担纳税义务时，按照税法等规定计算的应交税费金额予以确认。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第二十二条</w:t>
      </w:r>
      <w:r>
        <w:rPr>
          <w:rFonts w:hint="eastAsia"/>
          <w:color w:val="333333"/>
          <w:sz w:val="21"/>
          <w:szCs w:val="21"/>
        </w:rPr>
        <w:t xml:space="preserve"> 对于应付国库集中支付结余，政府会计主体（政府财政）应当在年末，按照国库集中支付预算指标数大于国库资金实际支付数的差额予以确认。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第二十三条</w:t>
      </w:r>
      <w:r>
        <w:rPr>
          <w:rFonts w:hint="eastAsia"/>
          <w:color w:val="333333"/>
          <w:sz w:val="21"/>
          <w:szCs w:val="21"/>
        </w:rPr>
        <w:t xml:space="preserve"> 对于其他应付未付款项，政府会计主体应当在有关政策已明确其承担支出责任，或者其他情况下相关义务满足负债的定义和确认条件时，按照确定应承担的负债金额予以确认。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第二十四条</w:t>
      </w:r>
      <w:r>
        <w:rPr>
          <w:rFonts w:hint="eastAsia"/>
          <w:color w:val="333333"/>
          <w:sz w:val="21"/>
          <w:szCs w:val="21"/>
        </w:rPr>
        <w:t xml:space="preserve"> 政府会计主体应当在支付应付款项或将预收款项确认为收入时，冲减相关负债的账面余额。</w:t>
      </w:r>
    </w:p>
    <w:p w:rsidR="00FD49DD" w:rsidRDefault="00FD49DD" w:rsidP="00FD49DD">
      <w:pPr>
        <w:pStyle w:val="a3"/>
        <w:shd w:val="clear" w:color="auto" w:fill="FFFFFF"/>
        <w:spacing w:before="0" w:beforeAutospacing="0" w:after="225" w:afterAutospacing="0"/>
        <w:jc w:val="center"/>
        <w:rPr>
          <w:rStyle w:val="a4"/>
          <w:rFonts w:hint="eastAsia"/>
          <w:color w:val="333333"/>
          <w:sz w:val="21"/>
          <w:szCs w:val="21"/>
        </w:rPr>
      </w:pP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lastRenderedPageBreak/>
        <w:t>第四章 暂收性负债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第二十五条 </w:t>
      </w:r>
      <w:r>
        <w:rPr>
          <w:rFonts w:hint="eastAsia"/>
          <w:color w:val="333333"/>
          <w:sz w:val="21"/>
          <w:szCs w:val="21"/>
        </w:rPr>
        <w:t>暂收性负债是指政府会计主体暂时收取，随后应做上缴、退回、转拨等处理的款项。暂收性负债主要包括应缴财政款和其他暂收款项。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应缴财政款，是指政府会计主体暂时收取、按规定应当上缴国库或财政专户的款项而形成的负债。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其他暂收款项，是指除应缴财政款以外的其他暂收性负债，包括政府会计主体暂时收取，随后应退还给其他方的押金或保证金、随后应转付给其他方的转拨款等款项。</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第二十六条</w:t>
      </w:r>
      <w:r>
        <w:rPr>
          <w:rFonts w:hint="eastAsia"/>
          <w:color w:val="333333"/>
          <w:sz w:val="21"/>
          <w:szCs w:val="21"/>
        </w:rPr>
        <w:t xml:space="preserve"> 对于应缴财政款，政府会计主体通常应当在实际收到相关款项时，按照相关规定计算确定的上缴金额予以确认。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第二十七条</w:t>
      </w:r>
      <w:r>
        <w:rPr>
          <w:rFonts w:hint="eastAsia"/>
          <w:color w:val="333333"/>
          <w:sz w:val="21"/>
          <w:szCs w:val="21"/>
        </w:rPr>
        <w:t xml:space="preserve"> 对于其他暂收款项，政府会计主体应当在实际收到相关款项时，按照实际收到的金额予以确认。</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第二十八条 </w:t>
      </w:r>
      <w:r>
        <w:rPr>
          <w:rFonts w:hint="eastAsia"/>
          <w:color w:val="333333"/>
          <w:sz w:val="21"/>
          <w:szCs w:val="21"/>
        </w:rPr>
        <w:t>政府会计主体应当在上缴应缴财政款、退还、转付其他暂收款项等时，冲减相关负债的账面余额。</w:t>
      </w: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t>第五章 预计负债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第二十九条 </w:t>
      </w:r>
      <w:r>
        <w:rPr>
          <w:rFonts w:hint="eastAsia"/>
          <w:color w:val="333333"/>
          <w:sz w:val="21"/>
          <w:szCs w:val="21"/>
        </w:rPr>
        <w:t>政府会计主体应当将与或有事项相关且满足本准则第三条规定条件的现时义务确认为预计负债。</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或有事项，是指由过去的经济业务或者事项形成的，其结果须由某些未来事项的发生或不发生才能决定的不确定事项。未来事项是否发生不在政府会计主体控制范围内。</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政府会计主体常见的或有事项主要包括：未决诉讼或未决仲裁、对外国政府或国际经济组织的贷款担保、承诺（补贴、代偿）、自然灾害或公共事件的救助等。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第三十条</w:t>
      </w:r>
      <w:r>
        <w:rPr>
          <w:rFonts w:hint="eastAsia"/>
          <w:color w:val="333333"/>
          <w:sz w:val="21"/>
          <w:szCs w:val="21"/>
        </w:rPr>
        <w:t xml:space="preserve"> 预计负债应当按照履行相关现时义务所需支出的最佳估计数进行初始计量。</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所需支出存在一个连续范围，且该范围内各种结果发生的可能性相同的，最佳估计数应当按照该范围内的中间值确定。</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在其他情形下，最佳估计数应当分别下列情况确定：</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（一）或有事项涉及单个项目的，按照最可能发生金额确定。</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（二）或有事项涉及多个项目的，按照各种可能结果及相关概率计算确定。</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第三十一条</w:t>
      </w:r>
      <w:r>
        <w:rPr>
          <w:rFonts w:hint="eastAsia"/>
          <w:color w:val="333333"/>
          <w:sz w:val="21"/>
          <w:szCs w:val="21"/>
        </w:rPr>
        <w:t xml:space="preserve"> 政府会计主体在确定最佳估计数时，一般应当综合考虑与或有事项有关的风险、不确定性等因素。</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第三十二条 </w:t>
      </w:r>
      <w:r>
        <w:rPr>
          <w:rFonts w:hint="eastAsia"/>
          <w:color w:val="333333"/>
          <w:sz w:val="21"/>
          <w:szCs w:val="21"/>
        </w:rPr>
        <w:t>政府会计主体清偿预计负债所需支出预期全部或部分由第三方补偿的，补偿金额只有在基本确定能够收到时才能作为资产单独确认。确认的补偿金额不应当超过预计负债的账面余额。</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第三十三条</w:t>
      </w:r>
      <w:r>
        <w:rPr>
          <w:rFonts w:hint="eastAsia"/>
          <w:color w:val="333333"/>
          <w:sz w:val="21"/>
          <w:szCs w:val="21"/>
        </w:rPr>
        <w:t xml:space="preserve"> 政府会计主体应当在报告日对预计负债的账面余额进行复核。有确凿证据表明该账面余额不能真实反映当前最佳估计数的，应当按照当前最佳估计数对该账面余额进行调整。</w:t>
      </w:r>
      <w:r>
        <w:rPr>
          <w:rFonts w:hint="eastAsia"/>
          <w:color w:val="333333"/>
          <w:sz w:val="21"/>
          <w:szCs w:val="21"/>
        </w:rPr>
        <w:lastRenderedPageBreak/>
        <w:t>履行该预计负债的相关义务不是很可能导致经济资源流出政府会计主体时，应当将该预计负债的账面余额予以转销。</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 xml:space="preserve">第三十四条 </w:t>
      </w:r>
      <w:r>
        <w:rPr>
          <w:rFonts w:hint="eastAsia"/>
          <w:color w:val="333333"/>
          <w:sz w:val="21"/>
          <w:szCs w:val="21"/>
        </w:rPr>
        <w:t>政府会计主体不应当将下列与或有事项相关的义务确认为负债，但应当按照本准则第三十六条规定对该类义务进行披露：</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过去的经济业务或者事项形成的潜在义务，其存在须通过未来不确定事项的发生或不发生予以证实，未来事项是否能发生不在政府会计主体控制范围内。潜在义务是指结果取决于不确定未来事项的可能义务。</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（二）过去的经济业务或者事项形成的现时义务，履行该义务不是很可能导致经济资源流出政府会计主体或者该义务的金额不能可靠计量。</w:t>
      </w: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t>第六章 披露</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第三十五条</w:t>
      </w:r>
      <w:r>
        <w:rPr>
          <w:rFonts w:hint="eastAsia"/>
          <w:color w:val="333333"/>
          <w:sz w:val="21"/>
          <w:szCs w:val="21"/>
        </w:rPr>
        <w:t xml:space="preserve"> 政府会计主体应当在附注中披露与举借债务、应付及预收款项、暂收性负债和预计负债有关的下列信息：</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（一）各类负债的债权人、偿还期限、期初余额和期末余额。</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（二）逾期借款或者违约政府债券的债权人、借款（债券）金额、逾期时间、利率、逾期未偿还（违约）原因和预计还款时间等。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（三）借款的担保方、担保方式、抵押物等。</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（四）预计负债的形成原因以及经济资源可能流出的时间、经济资源流出的时间和金额不确定的说明，预计负债有关的预期补偿金额和本期已确认的补偿金额。</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第三十六条</w:t>
      </w:r>
      <w:r>
        <w:rPr>
          <w:rFonts w:hint="eastAsia"/>
          <w:color w:val="333333"/>
          <w:sz w:val="21"/>
          <w:szCs w:val="21"/>
        </w:rPr>
        <w:t xml:space="preserve"> 政府会计主体应当在附注中披露本准则第三十四条规定的或有事项相关义务的下列信息：</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（一）或有事项相关义务的种类及其形成原因。</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（二）经济资源流出时间和金额不确定的说明。</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（三）或有事项相关义务预计产生的财务影响，以及获得补偿的可能性；无法预计的，应当说明原因。</w:t>
      </w:r>
    </w:p>
    <w:p w:rsidR="00FD49DD" w:rsidRDefault="00FD49DD" w:rsidP="00FD49DD">
      <w:pPr>
        <w:pStyle w:val="a3"/>
        <w:shd w:val="clear" w:color="auto" w:fill="FFFFFF"/>
        <w:spacing w:before="0" w:beforeAutospacing="0" w:after="225" w:afterAutospacing="0"/>
        <w:jc w:val="center"/>
        <w:rPr>
          <w:rFonts w:hint="eastAsia"/>
          <w:color w:val="333333"/>
          <w:sz w:val="21"/>
          <w:szCs w:val="21"/>
        </w:rPr>
      </w:pPr>
      <w:r>
        <w:rPr>
          <w:rStyle w:val="a4"/>
          <w:rFonts w:hint="eastAsia"/>
          <w:color w:val="333333"/>
          <w:sz w:val="21"/>
          <w:szCs w:val="21"/>
        </w:rPr>
        <w:t>第七章 附则</w:t>
      </w:r>
    </w:p>
    <w:p w:rsidR="00FD49DD" w:rsidRDefault="00FD49DD" w:rsidP="00FD49DD">
      <w:pPr>
        <w:pStyle w:val="a3"/>
        <w:shd w:val="clear" w:color="auto" w:fill="FFFFFF"/>
        <w:wordWrap w:val="0"/>
        <w:spacing w:before="0" w:beforeAutospacing="0" w:after="225" w:afterAutospacing="0"/>
        <w:rPr>
          <w:rFonts w:hint="eastAsia"/>
          <w:color w:val="333333"/>
          <w:sz w:val="21"/>
          <w:szCs w:val="21"/>
        </w:rPr>
      </w:pPr>
      <w:r w:rsidRPr="00FD49DD">
        <w:rPr>
          <w:rFonts w:hint="eastAsia"/>
          <w:b/>
          <w:color w:val="333333"/>
          <w:sz w:val="21"/>
          <w:szCs w:val="21"/>
        </w:rPr>
        <w:t>第三十七条</w:t>
      </w:r>
      <w:r>
        <w:rPr>
          <w:rFonts w:hint="eastAsia"/>
          <w:color w:val="333333"/>
          <w:sz w:val="21"/>
          <w:szCs w:val="21"/>
        </w:rPr>
        <w:t xml:space="preserve"> 本准则自2019年1月1日起施行。</w:t>
      </w:r>
    </w:p>
    <w:p w:rsidR="00A827F8" w:rsidRDefault="00A827F8"/>
    <w:sectPr w:rsidR="00A827F8" w:rsidSect="00FD49DD">
      <w:pgSz w:w="11906" w:h="16838"/>
      <w:pgMar w:top="1134" w:right="1701"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9DD"/>
    <w:rsid w:val="00A827F8"/>
    <w:rsid w:val="00FD4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49DD"/>
    <w:rPr>
      <w:b/>
      <w:bCs/>
    </w:rPr>
  </w:style>
  <w:style w:type="character" w:styleId="a5">
    <w:name w:val="Hyperlink"/>
    <w:basedOn w:val="a0"/>
    <w:uiPriority w:val="99"/>
    <w:semiHidden/>
    <w:unhideWhenUsed/>
    <w:rsid w:val="00FD49DD"/>
    <w:rPr>
      <w:color w:val="0000FF"/>
      <w:u w:val="single"/>
    </w:rPr>
  </w:style>
</w:styles>
</file>

<file path=word/webSettings.xml><?xml version="1.0" encoding="utf-8"?>
<w:webSettings xmlns:r="http://schemas.openxmlformats.org/officeDocument/2006/relationships" xmlns:w="http://schemas.openxmlformats.org/wordprocessingml/2006/main">
  <w:divs>
    <w:div w:id="6270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ui5.cn/article/af/830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683</Words>
  <Characters>3894</Characters>
  <Application>Microsoft Office Word</Application>
  <DocSecurity>0</DocSecurity>
  <Lines>32</Lines>
  <Paragraphs>9</Paragraphs>
  <ScaleCrop>false</ScaleCrop>
  <Company>CHINA</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2018-11-16T02:37:00Z</dcterms:created>
  <dcterms:modified xsi:type="dcterms:W3CDTF">2018-11-16T02:42:00Z</dcterms:modified>
</cp:coreProperties>
</file>