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en-US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u w:val="none"/>
        </w:rPr>
        <w:t>餐饮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u w:val="none"/>
          <w:lang w:eastAsia="zh-CN"/>
        </w:rPr>
        <w:t>服务连锁企业</w:t>
      </w:r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44"/>
          <w:szCs w:val="44"/>
          <w:lang w:val="en-US" w:eastAsia="en-US" w:bidi="ar-SA"/>
        </w:rPr>
        <w:t>食品安全管理</w:t>
      </w:r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44"/>
          <w:szCs w:val="44"/>
          <w:lang w:val="en-US" w:eastAsia="zh-CN" w:bidi="ar-SA"/>
        </w:rPr>
        <w:t>情况</w:t>
      </w:r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44"/>
          <w:szCs w:val="44"/>
          <w:lang w:val="en-US" w:eastAsia="en-US" w:bidi="ar-SA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en-US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44"/>
          <w:szCs w:val="44"/>
          <w:lang w:val="en-US" w:eastAsia="en-US" w:bidi="ar-SA"/>
        </w:rPr>
        <w:t>（参考模板）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22"/>
          <w:lang w:val="en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en-US" w:bidi="ar-SA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zh-CN" w:bidi="ar-SA"/>
        </w:rPr>
        <w:t>企业</w:t>
      </w: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en-US" w:bidi="ar-SA"/>
        </w:rPr>
        <w:t>基本情况</w:t>
      </w:r>
      <w:r>
        <w:rPr>
          <w:rFonts w:hint="default" w:ascii="方正黑体_GBK" w:hAnsi="方正黑体_GBK" w:eastAsia="方正黑体_GBK" w:cs="方正黑体_GBK"/>
          <w:color w:val="000000"/>
          <w:spacing w:val="-4"/>
          <w:sz w:val="32"/>
          <w:szCs w:val="22"/>
          <w:lang w:val="en" w:eastAsia="zh-CN" w:bidi="ar-SA"/>
        </w:rPr>
        <w:t>(</w:t>
      </w: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" w:eastAsia="zh-CN" w:bidi="ar-SA"/>
        </w:rPr>
        <w:t>章程</w:t>
      </w:r>
      <w:r>
        <w:rPr>
          <w:rFonts w:hint="default" w:ascii="方正黑体_GBK" w:hAnsi="方正黑体_GBK" w:eastAsia="方正黑体_GBK" w:cs="方正黑体_GBK"/>
          <w:color w:val="000000"/>
          <w:spacing w:val="-4"/>
          <w:sz w:val="32"/>
          <w:szCs w:val="22"/>
          <w:lang w:val="en" w:eastAsia="zh-CN" w:bidi="ar-SA"/>
        </w:rPr>
        <w:t>)</w:t>
      </w: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zh-CN" w:bidi="ar-SA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22"/>
          <w:lang w:val="en-US" w:eastAsia="en-US" w:bidi="ar-SA"/>
        </w:rPr>
      </w:pP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en-US" w:bidi="ar-SA"/>
        </w:rPr>
        <w:t>二、食品安全管理组织架构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en-US" w:bidi="ar-SA"/>
        </w:rPr>
        <w:t>三、</w:t>
      </w:r>
      <w:r>
        <w:rPr>
          <w:rFonts w:hint="eastAsia" w:ascii="方正黑体_GBK" w:hAnsi="方正黑体_GBK" w:eastAsia="方正黑体_GBK" w:cs="方正黑体_GBK"/>
          <w:color w:val="000000"/>
          <w:spacing w:val="-4"/>
          <w:sz w:val="32"/>
          <w:szCs w:val="22"/>
          <w:lang w:val="en-US" w:eastAsia="zh-CN" w:bidi="ar-SA"/>
        </w:rPr>
        <w:t>食品经营过程风险点控制措施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lang w:val="en-US" w:eastAsia="en-US" w:bidi="ar-SA"/>
        </w:rPr>
      </w:pPr>
    </w:p>
    <w:p>
      <w:pPr>
        <w:pStyle w:val="5"/>
        <w:spacing w:line="600" w:lineRule="exact"/>
        <w:ind w:firstLine="0"/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lang w:val="en-US" w:eastAsia="en-US" w:bidi="ar-SA"/>
        </w:rPr>
      </w:pPr>
    </w:p>
    <w:p>
      <w:pPr>
        <w:pStyle w:val="4"/>
        <w:spacing w:after="0" w:line="600" w:lineRule="exact"/>
        <w:rPr>
          <w:rFonts w:hint="eastAsia"/>
          <w:lang w:val="en-US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u w:val="singl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lang w:val="en-US" w:eastAsia="zh-CN" w:bidi="ar-SA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u w:val="single"/>
          <w:lang w:val="en-US" w:eastAsia="zh-CN" w:bidi="ar-SA"/>
        </w:rPr>
        <w:t xml:space="preserve">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22"/>
          <w:u w:val="none"/>
          <w:lang w:val="en-US" w:eastAsia="zh-CN" w:bidi="ar-SA"/>
        </w:rPr>
        <w:t xml:space="preserve">                                     年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96353"/>
    <w:rsid w:val="3B7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eastAsia="方正仿宋_GBK"/>
      <w:sz w:val="32"/>
    </w:rPr>
  </w:style>
  <w:style w:type="paragraph" w:styleId="5">
    <w:name w:val="Body Text First Indent"/>
    <w:basedOn w:val="4"/>
    <w:next w:val="4"/>
    <w:qFormat/>
    <w:uiPriority w:val="0"/>
    <w:pPr>
      <w:spacing w:after="0"/>
      <w:ind w:firstLine="720"/>
    </w:pPr>
    <w:rPr>
      <w:rFonts w:ascii="楷体_GB2312"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2023-04-12T08:03:00Z</dcterms:created>
  <dc:creator>叶菲</dc:creator>
  <cp:lastModifiedBy>叶菲</cp:lastModifiedBy>
  <dcterms:modified xsi:type="dcterms:W3CDTF">2023-04-12T08:03:43Z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