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3</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color w:val="000000"/>
          <w:kern w:val="0"/>
          <w:sz w:val="32"/>
          <w:szCs w:val="32"/>
          <w:lang w:bidi="ar"/>
        </w:rPr>
        <w:t>离岸信托清算个人所得税报告表</w:t>
      </w:r>
    </w:p>
    <w:tbl>
      <w:tblPr>
        <w:tblStyle w:val="4"/>
        <w:tblW w:w="8305" w:type="dxa"/>
        <w:tblInd w:w="108" w:type="dxa"/>
        <w:tblLayout w:type="fixed"/>
        <w:tblCellMar>
          <w:top w:w="0" w:type="dxa"/>
          <w:left w:w="108" w:type="dxa"/>
          <w:bottom w:w="0" w:type="dxa"/>
          <w:right w:w="108" w:type="dxa"/>
        </w:tblCellMar>
      </w:tblPr>
      <w:tblGrid>
        <w:gridCol w:w="929"/>
        <w:gridCol w:w="3193"/>
        <w:gridCol w:w="4183"/>
      </w:tblGrid>
      <w:tr>
        <w:tblPrEx>
          <w:tblLayout w:type="fixed"/>
          <w:tblCellMar>
            <w:top w:w="0" w:type="dxa"/>
            <w:left w:w="108" w:type="dxa"/>
            <w:bottom w:w="0" w:type="dxa"/>
            <w:right w:w="108" w:type="dxa"/>
          </w:tblCellMar>
        </w:tblPrEx>
        <w:trPr>
          <w:trHeight w:val="36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所属纳税年度：</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0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2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0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183" w:type="dxa"/>
            <w:tcBorders>
              <w:top w:val="nil"/>
              <w:left w:val="nil"/>
              <w:bottom w:val="nil"/>
              <w:right w:val="nil"/>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p>
        </w:tc>
      </w:tr>
      <w:tr>
        <w:tblPrEx>
          <w:tblLayout w:type="fixed"/>
          <w:tblCellMar>
            <w:top w:w="0" w:type="dxa"/>
            <w:left w:w="108" w:type="dxa"/>
            <w:bottom w:w="0" w:type="dxa"/>
            <w:right w:w="108" w:type="dxa"/>
          </w:tblCellMar>
        </w:tblPrEx>
        <w:trPr>
          <w:trHeight w:val="363"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由离岸信托受托人代为申报缴税</w:t>
            </w:r>
            <w:r>
              <w:rPr>
                <w:rFonts w:hint="eastAsia" w:ascii="宋体" w:hAnsi="宋体" w:cs="宋体"/>
                <w:color w:val="000000"/>
                <w:kern w:val="0"/>
                <w:sz w:val="22"/>
                <w:szCs w:val="22"/>
                <w:lang w:eastAsia="zh-CN" w:bidi="ar"/>
              </w:rPr>
              <w:t>：</w:t>
            </w:r>
          </w:p>
        </w:tc>
        <w:tc>
          <w:tcPr>
            <w:tcW w:w="4183"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598"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由离岸信托受托人指定的境内机构代为申报缴税</w:t>
            </w:r>
            <w:r>
              <w:rPr>
                <w:rFonts w:hint="eastAsia" w:ascii="宋体" w:hAnsi="宋体" w:cs="宋体"/>
                <w:color w:val="000000"/>
                <w:kern w:val="0"/>
                <w:sz w:val="22"/>
                <w:szCs w:val="22"/>
                <w:lang w:eastAsia="zh-CN" w:bidi="ar"/>
              </w:rPr>
              <w:t>：</w:t>
            </w:r>
          </w:p>
        </w:tc>
        <w:tc>
          <w:tcPr>
            <w:tcW w:w="4183"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344"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受托人或其指定的境内机构名称：</w:t>
            </w:r>
          </w:p>
        </w:tc>
        <w:tc>
          <w:tcPr>
            <w:tcW w:w="4183" w:type="dxa"/>
            <w:tcBorders>
              <w:top w:val="nil"/>
              <w:left w:val="nil"/>
              <w:bottom w:val="nil"/>
              <w:right w:val="nil"/>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受托人或其指定的境内机构纳税人识别号：</w:t>
            </w:r>
          </w:p>
        </w:tc>
        <w:tc>
          <w:tcPr>
            <w:tcW w:w="4183" w:type="dxa"/>
            <w:tcBorders>
              <w:top w:val="nil"/>
              <w:left w:val="nil"/>
              <w:bottom w:val="nil"/>
              <w:right w:val="nil"/>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0" w:hRule="atLeast"/>
        </w:trPr>
        <w:tc>
          <w:tcPr>
            <w:tcW w:w="8305" w:type="dxa"/>
            <w:gridSpan w:val="3"/>
            <w:tcBorders>
              <w:top w:val="nil"/>
              <w:left w:val="nil"/>
              <w:bottom w:val="nil"/>
              <w:right w:val="nil"/>
            </w:tcBorders>
            <w:noWrap/>
            <w:tcMar>
              <w:left w:w="108" w:type="dxa"/>
              <w:right w:w="108" w:type="dxa"/>
            </w:tcMar>
            <w:vAlign w:val="center"/>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bidi="ar"/>
              </w:rPr>
              <w:t>报送时间：</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离岸信托编码：</w:t>
            </w:r>
            <w:r>
              <w:rPr>
                <w:rFonts w:hint="eastAsia" w:ascii="宋体" w:hAnsi="宋体" w:cs="宋体"/>
                <w:color w:val="000000"/>
                <w:kern w:val="0"/>
                <w:sz w:val="22"/>
                <w:szCs w:val="22"/>
                <w:lang w:eastAsia="zh-CN" w:bidi="ar"/>
              </w:rPr>
              <w:t>（系统带入）</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金额单位：人民币元（列至角分）</w:t>
            </w:r>
          </w:p>
        </w:tc>
      </w:tr>
      <w:tr>
        <w:tblPrEx>
          <w:tblLayout w:type="fixed"/>
          <w:tblCellMar>
            <w:top w:w="0" w:type="dxa"/>
            <w:left w:w="108" w:type="dxa"/>
            <w:bottom w:w="0" w:type="dxa"/>
            <w:right w:w="108" w:type="dxa"/>
          </w:tblCellMar>
        </w:tblPrEx>
        <w:trPr>
          <w:trHeight w:val="42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离岸信托基础信息</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离岸信托名称（英文）</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离岸信托名称（中文）</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13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清算类型</w:t>
            </w:r>
          </w:p>
        </w:tc>
        <w:tc>
          <w:tcPr>
            <w:tcW w:w="41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□离岸信托终止    </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离岸信托终止日期：  年  月  日</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eastAsia="zh-CN" w:bidi="ar"/>
              </w:rPr>
              <w:t>清算完成日期：</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 xml:space="preserve">  年  月  日</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□将财产装入离岸信托的居民个人死亡    </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居民个人死亡日期：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□将财产装入离岸信托的居民个人转为非居民个人  </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转为非居民个人日期： 年  月  日</w:t>
            </w:r>
          </w:p>
        </w:tc>
      </w:tr>
      <w:tr>
        <w:tblPrEx>
          <w:tblLayout w:type="fixed"/>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装入人离岸信托相关金融账户开户金融机构名称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装入人离岸信托相关金融账户名</w:t>
            </w:r>
            <w:r>
              <w:rPr>
                <w:rFonts w:hint="eastAsia" w:ascii="宋体" w:hAnsi="宋体" w:cs="宋体"/>
                <w:color w:val="000000"/>
                <w:kern w:val="0"/>
                <w:sz w:val="22"/>
                <w:szCs w:val="22"/>
                <w:lang w:eastAsia="zh-CN" w:bidi="ar"/>
              </w:rPr>
              <w:t>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装入人离岸信托相关金融账户账号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6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装入人占有离岸信托财产市场价值的比例</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val="en-US" w:eastAsia="zh-CN" w:bidi="ar"/>
              </w:rPr>
              <w:t>%</w:t>
            </w:r>
            <w:r>
              <w:rPr>
                <w:rFonts w:hint="eastAsia" w:ascii="宋体" w:hAnsi="宋体" w:cs="宋体"/>
                <w:color w:val="000000"/>
                <w:kern w:val="0"/>
                <w:sz w:val="22"/>
                <w:szCs w:val="22"/>
                <w:lang w:eastAsia="zh-CN"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Layout w:type="fixed"/>
          <w:tblCellMar>
            <w:top w:w="0" w:type="dxa"/>
            <w:left w:w="108" w:type="dxa"/>
            <w:bottom w:w="0" w:type="dxa"/>
            <w:right w:w="108" w:type="dxa"/>
          </w:tblCellMar>
        </w:tblPrEx>
        <w:trPr>
          <w:trHeight w:val="840" w:hRule="atLeast"/>
        </w:trPr>
        <w:tc>
          <w:tcPr>
            <w:tcW w:w="929"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装入人死亡后是否存在非居民个人承继离岸信托相关权益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60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0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90" w:hRule="atLeast"/>
        </w:trPr>
        <w:tc>
          <w:tcPr>
            <w:tcW w:w="929"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受托人身份</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 □其他</w:t>
            </w: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受托人注册的国家或地区</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8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受托人是否指定境内机构代理报送相关信息</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0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77"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9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77"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受益人身份</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□居民企业 □非居民企业 □居民个人</w:t>
            </w:r>
          </w:p>
          <w:p>
            <w:pPr>
              <w:widowControl/>
              <w:jc w:val="center"/>
              <w:textAlignment w:val="center"/>
              <w:rPr>
                <w:rFonts w:hint="default" w:ascii="宋体" w:hAnsi="宋体" w:cs="宋体"/>
                <w:color w:val="000000"/>
                <w:sz w:val="22"/>
                <w:szCs w:val="22"/>
                <w:lang w:val="en-US"/>
              </w:rPr>
            </w:pP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非居民个人</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val="en-US" w:eastAsia="zh-CN" w:bidi="ar"/>
              </w:rPr>
              <w:t>其他</w:t>
            </w:r>
            <w:r>
              <w:rPr>
                <w:rFonts w:hint="eastAsia" w:ascii="宋体" w:hAnsi="宋体" w:cs="宋体"/>
                <w:color w:val="000000"/>
                <w:kern w:val="0"/>
                <w:sz w:val="22"/>
                <w:szCs w:val="22"/>
                <w:u w:val="single"/>
                <w:lang w:val="en-US" w:eastAsia="zh-CN" w:bidi="ar"/>
              </w:rPr>
              <w:t xml:space="preserve">  </w:t>
            </w: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受益人名称</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6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金融账户开户金融机构名称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金融账户名</w:t>
            </w:r>
            <w:r>
              <w:rPr>
                <w:rFonts w:hint="eastAsia" w:ascii="宋体" w:hAnsi="宋体" w:cs="宋体"/>
                <w:color w:val="000000"/>
                <w:kern w:val="0"/>
                <w:sz w:val="22"/>
                <w:szCs w:val="22"/>
                <w:lang w:eastAsia="zh-CN" w:bidi="ar"/>
              </w:rPr>
              <w:t>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金融账户账号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left w:val="single" w:color="000000" w:sz="4" w:space="0"/>
              <w:bottom w:val="single" w:color="000000" w:sz="4" w:space="0"/>
              <w:right w:val="single" w:color="000000" w:sz="4" w:space="0"/>
            </w:tcBorders>
            <w:noWrap/>
            <w:tcMar>
              <w:left w:w="108" w:type="dxa"/>
              <w:right w:w="108" w:type="dxa"/>
            </w:tcMar>
            <w:vAlign w:val="bottom"/>
          </w:tcPr>
          <w:p>
            <w:pP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100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当年1月1日</w:t>
            </w:r>
            <w:r>
              <w:rPr>
                <w:rFonts w:hint="eastAsia" w:ascii="宋体" w:hAnsi="宋体" w:cs="宋体"/>
                <w:color w:val="000000"/>
                <w:kern w:val="0"/>
                <w:sz w:val="22"/>
                <w:szCs w:val="22"/>
                <w:lang w:eastAsia="zh-CN" w:bidi="ar"/>
              </w:rPr>
              <w:t>至</w:t>
            </w:r>
            <w:r>
              <w:rPr>
                <w:rFonts w:hint="eastAsia" w:ascii="宋体" w:hAnsi="宋体" w:cs="宋体"/>
                <w:color w:val="000000"/>
                <w:kern w:val="0"/>
                <w:sz w:val="22"/>
                <w:szCs w:val="22"/>
                <w:lang w:bidi="ar"/>
              </w:rPr>
              <w:t>清算日</w:t>
            </w:r>
            <w:r>
              <w:rPr>
                <w:rFonts w:hint="eastAsia" w:ascii="宋体" w:hAnsi="宋体" w:cs="宋体"/>
                <w:color w:val="000000"/>
                <w:kern w:val="0"/>
                <w:sz w:val="22"/>
                <w:szCs w:val="22"/>
                <w:lang w:eastAsia="zh-CN" w:bidi="ar"/>
              </w:rPr>
              <w:t>期间</w:t>
            </w:r>
            <w:r>
              <w:rPr>
                <w:rFonts w:hint="eastAsia" w:ascii="宋体" w:hAnsi="宋体" w:cs="宋体"/>
                <w:color w:val="000000"/>
                <w:kern w:val="0"/>
                <w:sz w:val="22"/>
                <w:szCs w:val="22"/>
                <w:lang w:bidi="ar"/>
              </w:rPr>
              <w:t>收益情况</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w:t>
            </w:r>
            <w:r>
              <w:rPr>
                <w:rFonts w:hint="eastAsia" w:ascii="宋体" w:hAnsi="宋体" w:cs="宋体"/>
                <w:color w:val="000000"/>
                <w:kern w:val="0"/>
                <w:sz w:val="22"/>
                <w:szCs w:val="22"/>
                <w:lang w:eastAsia="zh-CN" w:bidi="ar"/>
              </w:rPr>
              <w:t>清算日是指</w:t>
            </w:r>
            <w:r>
              <w:rPr>
                <w:rFonts w:hint="eastAsia" w:ascii="宋体" w:hAnsi="宋体" w:cs="宋体"/>
                <w:color w:val="000000"/>
                <w:kern w:val="0"/>
                <w:sz w:val="22"/>
                <w:szCs w:val="22"/>
                <w:lang w:bidi="ar"/>
              </w:rPr>
              <w:t>离岸信托终止</w:t>
            </w:r>
            <w:r>
              <w:rPr>
                <w:rFonts w:hint="eastAsia" w:ascii="宋体" w:hAnsi="宋体" w:cs="宋体"/>
                <w:color w:val="000000"/>
                <w:kern w:val="0"/>
                <w:sz w:val="22"/>
                <w:szCs w:val="22"/>
                <w:lang w:eastAsia="zh-CN" w:bidi="ar"/>
              </w:rPr>
              <w:t>之</w:t>
            </w:r>
            <w:r>
              <w:rPr>
                <w:rFonts w:hint="eastAsia" w:ascii="宋体" w:hAnsi="宋体" w:cs="宋体"/>
                <w:color w:val="000000"/>
                <w:kern w:val="0"/>
                <w:sz w:val="22"/>
                <w:szCs w:val="22"/>
                <w:lang w:bidi="ar"/>
              </w:rPr>
              <w:t>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装入财产的居民个人转为非居民个人之日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w:t>
            </w:r>
            <w:r>
              <w:rPr>
                <w:rFonts w:hint="eastAsia" w:ascii="宋体" w:hAnsi="宋体" w:cs="宋体"/>
                <w:color w:val="000000"/>
                <w:kern w:val="0"/>
                <w:sz w:val="22"/>
                <w:szCs w:val="22"/>
                <w:lang w:eastAsia="zh-CN" w:bidi="ar"/>
              </w:rPr>
              <w:t>的</w:t>
            </w:r>
            <w:r>
              <w:rPr>
                <w:rFonts w:hint="eastAsia" w:ascii="宋体" w:hAnsi="宋体" w:cs="宋体"/>
                <w:color w:val="000000"/>
                <w:kern w:val="0"/>
                <w:sz w:val="22"/>
                <w:szCs w:val="22"/>
                <w:lang w:bidi="ar"/>
              </w:rPr>
              <w:t>居民个人死亡之日）</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年初离岸信托资产余额合计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3"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清算日离岸信托资产余额合计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6"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4"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4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离岸信托及其境外实体以分配、赠与、划转、低价转让等方式转移离岸信托财产的</w:t>
            </w:r>
            <w:r>
              <w:rPr>
                <w:rFonts w:hint="eastAsia" w:ascii="宋体" w:hAnsi="宋体" w:cs="宋体"/>
                <w:color w:val="000000"/>
                <w:kern w:val="0"/>
                <w:sz w:val="22"/>
                <w:szCs w:val="22"/>
                <w:lang w:eastAsia="zh-CN" w:bidi="ar"/>
              </w:rPr>
              <w:t>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0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13"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其中：境外实体利息、股息、红利所得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42"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清算日离岸信托财产市场价值合计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8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清算日离岸信托财产的原值</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83"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清算费用</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纳税人所占清算收益的比例</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分配信息</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以前年度累计已分配收益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年初累计未分配收益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w:t>
            </w:r>
            <w:r>
              <w:rPr>
                <w:rFonts w:hint="eastAsia" w:ascii="宋体" w:hAnsi="宋体" w:cs="宋体"/>
                <w:color w:val="000000"/>
                <w:kern w:val="0"/>
                <w:sz w:val="22"/>
                <w:szCs w:val="22"/>
                <w:lang w:eastAsia="zh-CN" w:bidi="ar"/>
              </w:rPr>
              <w:t>末</w:t>
            </w:r>
            <w:r>
              <w:rPr>
                <w:rFonts w:hint="eastAsia" w:ascii="宋体" w:hAnsi="宋体" w:cs="宋体"/>
                <w:color w:val="000000"/>
                <w:kern w:val="0"/>
                <w:sz w:val="22"/>
                <w:szCs w:val="22"/>
                <w:lang w:bidi="ar"/>
              </w:rPr>
              <w:t>累计未分配收益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当年是否向受益人分配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当年分配金额合计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接受分配受益人名称</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接受分配受益人纳税人识别号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接受分配金额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其中：来源于中国境内的所得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受益人视同取得的收益金额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863" w:hRule="atLeast"/>
        </w:trPr>
        <w:tc>
          <w:tcPr>
            <w:tcW w:w="8305" w:type="dxa"/>
            <w:gridSpan w:val="3"/>
            <w:tcBorders>
              <w:top w:val="single" w:color="000000" w:sz="4" w:space="0"/>
              <w:left w:val="single" w:color="000000" w:sz="4" w:space="0"/>
              <w:bottom w:val="single" w:color="000000" w:sz="4" w:space="0"/>
              <w:right w:val="single" w:color="000000" w:sz="4" w:space="0"/>
            </w:tcBorders>
            <w:noWrap/>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Layout w:type="fixed"/>
          <w:tblCellMar>
            <w:top w:w="0" w:type="dxa"/>
            <w:left w:w="108" w:type="dxa"/>
            <w:bottom w:w="0" w:type="dxa"/>
            <w:right w:w="108" w:type="dxa"/>
          </w:tblCellMar>
        </w:tblPrEx>
        <w:trPr>
          <w:trHeight w:val="126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报送人签字：   年  月   日</w:t>
            </w:r>
          </w:p>
        </w:tc>
      </w:tr>
      <w:tr>
        <w:tblPrEx>
          <w:tblLayout w:type="fixed"/>
          <w:tblCellMar>
            <w:top w:w="0" w:type="dxa"/>
            <w:left w:w="108" w:type="dxa"/>
            <w:bottom w:w="0" w:type="dxa"/>
            <w:right w:w="108" w:type="dxa"/>
          </w:tblCellMar>
        </w:tblPrEx>
        <w:trPr>
          <w:trHeight w:val="81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1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32"/>
          <w:szCs w:val="32"/>
        </w:rPr>
        <w:br w:type="page"/>
      </w:r>
      <w:r>
        <w:rPr>
          <w:rFonts w:hint="eastAsia" w:ascii="仿宋_GB2312" w:hAnsi="仿宋_GB2312" w:eastAsia="仿宋_GB2312" w:cs="仿宋_GB2312"/>
          <w:b/>
          <w:bCs/>
          <w:sz w:val="28"/>
          <w:szCs w:val="28"/>
        </w:rPr>
        <w:t>《离岸信托清算个人所得税报告表》填报说明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本表适用于将财产装入离岸信托的居民个人转为非居民个人、居民个人将财产装入离岸信托终止、将财产装入离岸信托的居民个</w:t>
      </w:r>
      <w:r>
        <w:rPr>
          <w:rFonts w:hint="eastAsia" w:ascii="仿宋_GB2312" w:hAnsi="仿宋_GB2312" w:eastAsia="仿宋_GB2312" w:cs="仿宋_GB2312"/>
          <w:sz w:val="28"/>
          <w:szCs w:val="28"/>
          <w:highlight w:val="none"/>
        </w:rPr>
        <w:t>人死亡且离岸信托相关权益由其他非居民个人承继或无人承继，按照税法规定在办理纳税申报时填报。离岸信托是指依照境外法律规定设立的信托或具有信托功能的其他法律安排。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将财产装入离岸信托的居民个人转为非居民个人的，居民个人在转为非居民个人之日次月15日内向主管税务机关报送本表。居民个人将财产装入离岸信托终止的，居民个人</w:t>
      </w:r>
      <w:r>
        <w:rPr>
          <w:rFonts w:ascii="仿宋_GB2312" w:eastAsia="仿宋_GB2312"/>
          <w:sz w:val="28"/>
          <w:szCs w:val="28"/>
        </w:rPr>
        <w:t>在清算完成</w:t>
      </w:r>
      <w:r>
        <w:rPr>
          <w:rFonts w:hint="eastAsia" w:ascii="仿宋_GB2312" w:eastAsia="仿宋_GB2312"/>
          <w:sz w:val="28"/>
          <w:szCs w:val="28"/>
          <w:lang w:eastAsia="zh-CN"/>
        </w:rPr>
        <w:t>之日</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的，离岸信托受托人</w:t>
      </w:r>
      <w:r>
        <w:rPr>
          <w:rFonts w:hint="eastAsia" w:ascii="仿宋_GB2312" w:eastAsia="仿宋_GB2312"/>
          <w:sz w:val="28"/>
          <w:szCs w:val="28"/>
        </w:rPr>
        <w:t>或其指定的境内机构（以下简称受托人）在居民个人死亡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1.所属纳税年度：将财产装入离岸信托的居民个人转为非居民个人的，填报转为非居民个人的纳税年度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居民个人将财产装入离岸信托终止的，填报离岸信托终止的纳税年度</w:t>
      </w:r>
      <w:r>
        <w:rPr>
          <w:rFonts w:hint="eastAsia" w:ascii="仿宋_GB2312" w:hAnsi="仿宋_GB2312" w:eastAsia="仿宋_GB2312" w:cs="仿宋_GB2312"/>
          <w:sz w:val="28"/>
          <w:szCs w:val="28"/>
          <w:lang w:eastAsia="zh-CN"/>
        </w:rPr>
        <w:t>。</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w:t>
      </w:r>
      <w:r>
        <w:rPr>
          <w:rFonts w:hint="eastAsia" w:ascii="仿宋_GB2312" w:eastAsia="仿宋_GB2312"/>
          <w:sz w:val="28"/>
          <w:szCs w:val="28"/>
        </w:rPr>
        <w:t>填报死亡年度。</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5.信托基础信息：根据离岸信托协议等信息以及自身情形填报。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清算日前收益情况：将财产装入离岸信托的居民个人转为非居民个人的，填报转为非居民个人当年1月1日至转为非居民个人之日期间的收益情况。居民个人将财产装入离岸信托终止的，填报离岸信托终止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日期间产生的收益情况。将财产装入离岸信托的居民个人死亡且离岸信托相关权益由其他非居民个人承继或无人承继的，填报居民个人死亡当年1月1日至死亡之日期间的收益情况。</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7.清算收益：将财产装入离岸信托的居民个人转为非居民个人的，以转为非居民个人当日离岸信托财产的市场价值扣除原值后的余额计算。居民个人将财产装入离岸信托终止的，信托财产的清算收益为终止之</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rPr>
        <w:t>信托财产的市场价值扣除财产原值以及合理费用后的余额计算。居民个人将财产装入离岸信托后死亡，离岸信托由其他非居民个人承继或者无人承继的，以死亡当日信托财产市场价值扣除原值后的余额计算。</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分配信息：将财产装入离岸信托的居民个人转为非居民个人、居民个人将财产装入离岸信托终止、将财产装入离岸信托的居民个人死亡且离岸信托相关权益由其他非居民个人承继或无人承继的，纳税人根据分配或取得分配所得的情况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ascii="仿宋_GB2312" w:hAnsi="仿宋_GB2312" w:eastAsia="仿宋_GB2312" w:cs="仿宋_GB2312"/>
          <w:b/>
          <w:bCs/>
          <w:sz w:val="28"/>
          <w:szCs w:val="28"/>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PAGE  \* MERGEFORMAT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JiT5gwwEAAHADAAAOAAAAAAAAAAEAIAAAAB4BAABkcnMvZTJvRG9jLnhtbFBL&#10;BQYAAAAABgAGAFkBAABTBQAAAAA=&#10;">
              <v:fill on="f" focussize="0,0"/>
              <v:stroke on="f"/>
              <v:imagedata o:title=""/>
              <o:lock v:ext="edit" aspectratio="f"/>
              <v:textbox inset="0mm,0mm,0mm,0mm" style="mso-fit-shape-to-text:t;">
                <w:txbxContent>
                  <w:p>
                    <w:pPr>
                      <w:pStyle w:val="2"/>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PAGE  \* MERGEFORMAT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0B0899"/>
    <w:rsid w:val="0045238E"/>
    <w:rsid w:val="00776D29"/>
    <w:rsid w:val="00C1476C"/>
    <w:rsid w:val="175F3DFB"/>
    <w:rsid w:val="2BDBF630"/>
    <w:rsid w:val="2FFF1659"/>
    <w:rsid w:val="397F3D1A"/>
    <w:rsid w:val="3BEF59EA"/>
    <w:rsid w:val="3DDF8CE7"/>
    <w:rsid w:val="3FD369DD"/>
    <w:rsid w:val="3FF5D2ED"/>
    <w:rsid w:val="3FFF26BD"/>
    <w:rsid w:val="456E4974"/>
    <w:rsid w:val="4DFC6C8F"/>
    <w:rsid w:val="4F63B6C7"/>
    <w:rsid w:val="56FA080E"/>
    <w:rsid w:val="5AFE5801"/>
    <w:rsid w:val="5BEFBFFB"/>
    <w:rsid w:val="5CBF5504"/>
    <w:rsid w:val="5CFF0E07"/>
    <w:rsid w:val="5F7D812E"/>
    <w:rsid w:val="6B7CEF76"/>
    <w:rsid w:val="6BFF951C"/>
    <w:rsid w:val="6F7752A2"/>
    <w:rsid w:val="76733BB6"/>
    <w:rsid w:val="77D216E6"/>
    <w:rsid w:val="77EF40F8"/>
    <w:rsid w:val="7FDB9AF8"/>
    <w:rsid w:val="7FF501BB"/>
    <w:rsid w:val="AFECD766"/>
    <w:rsid w:val="BEF5DD31"/>
    <w:rsid w:val="BEF7AFE7"/>
    <w:rsid w:val="BF7B0EDF"/>
    <w:rsid w:val="BFFFBB2C"/>
    <w:rsid w:val="C3E35728"/>
    <w:rsid w:val="CA6F306E"/>
    <w:rsid w:val="D1F71953"/>
    <w:rsid w:val="D7D0A90E"/>
    <w:rsid w:val="DDCA721F"/>
    <w:rsid w:val="DDD4360F"/>
    <w:rsid w:val="DFFE767E"/>
    <w:rsid w:val="E6661EB5"/>
    <w:rsid w:val="ED5FD36D"/>
    <w:rsid w:val="EDBF1AA0"/>
    <w:rsid w:val="F37D2C16"/>
    <w:rsid w:val="F5FDD82F"/>
    <w:rsid w:val="F5FFBBA4"/>
    <w:rsid w:val="F6DF1823"/>
    <w:rsid w:val="F9F6917F"/>
    <w:rsid w:val="FB69AF11"/>
    <w:rsid w:val="FB6AB156"/>
    <w:rsid w:val="FBFFBE56"/>
    <w:rsid w:val="FCC4005C"/>
    <w:rsid w:val="FCD79F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445</Words>
  <Characters>2541</Characters>
  <Lines>21</Lines>
  <Paragraphs>5</Paragraphs>
  <TotalTime>4.66666666666667</TotalTime>
  <ScaleCrop>false</ScaleCrop>
  <LinksUpToDate>false</LinksUpToDate>
  <CharactersWithSpaces>2981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2026-07-17T17:12:00Z</dcterms:created>
  <dc:creator>羊坊店</dc:creator>
  <cp:lastModifiedBy>Administrator</cp:lastModifiedBy>
  <cp:lastPrinted>2026-07-25T18:56:27Z</cp:lastPrinted>
  <dcterms:modified xsi:type="dcterms:W3CDTF">2026-07-27T00:54:54Z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06274AFA37EA781DCF1E4E6A3E43DF82_43</vt:lpwstr>
  </property>
</Properties>
</file>