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4</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离岸信托清算个人所得税纳税申报表</w:t>
      </w:r>
    </w:p>
    <w:tbl>
      <w:tblPr>
        <w:tblStyle w:val="4"/>
        <w:tblW w:w="8305" w:type="dxa"/>
        <w:tblInd w:w="108" w:type="dxa"/>
        <w:tblLayout w:type="fixed"/>
        <w:tblCellMar>
          <w:top w:w="0" w:type="dxa"/>
          <w:left w:w="108" w:type="dxa"/>
          <w:bottom w:w="0" w:type="dxa"/>
          <w:right w:w="108" w:type="dxa"/>
        </w:tblCellMar>
      </w:tblPr>
      <w:tblGrid>
        <w:gridCol w:w="1734"/>
        <w:gridCol w:w="1909"/>
        <w:gridCol w:w="1454"/>
        <w:gridCol w:w="3208"/>
      </w:tblGrid>
      <w:tr>
        <w:tblPrEx>
          <w:tblLayout w:type="fixed"/>
          <w:tblCellMar>
            <w:top w:w="0" w:type="dxa"/>
            <w:left w:w="108" w:type="dxa"/>
            <w:bottom w:w="0" w:type="dxa"/>
            <w:right w:w="108" w:type="dxa"/>
          </w:tblCellMar>
        </w:tblPrEx>
        <w:trPr>
          <w:trHeight w:val="270" w:hRule="atLeast"/>
        </w:trPr>
        <w:tc>
          <w:tcPr>
            <w:tcW w:w="5097" w:type="dxa"/>
            <w:gridSpan w:val="3"/>
            <w:tcBorders>
              <w:top w:val="nil"/>
              <w:left w:val="nil"/>
              <w:bottom w:val="nil"/>
              <w:right w:val="nil"/>
            </w:tcBorders>
            <w:noWrap/>
            <w:tcMar>
              <w:left w:w="108" w:type="dxa"/>
              <w:right w:w="108" w:type="dxa"/>
            </w:tcMar>
            <w:vAlign w:val="bottom"/>
          </w:tcPr>
          <w:p>
            <w:pPr>
              <w:jc w:val="both"/>
              <w:rPr>
                <w:rFonts w:hint="eastAsia" w:ascii="宋体" w:hAnsi="宋体" w:cs="宋体"/>
                <w:color w:val="000000"/>
                <w:sz w:val="22"/>
                <w:szCs w:val="22"/>
              </w:rPr>
            </w:pPr>
            <w:r>
              <w:rPr>
                <w:rFonts w:hint="eastAsia" w:ascii="宋体" w:hAnsi="宋体" w:cs="宋体"/>
                <w:color w:val="000000"/>
                <w:kern w:val="0"/>
                <w:sz w:val="22"/>
                <w:szCs w:val="22"/>
                <w:lang w:bidi="ar"/>
              </w:rPr>
              <w:t>税款所属期：   年   月   日 至   年   月   日</w:t>
            </w:r>
          </w:p>
        </w:tc>
        <w:tc>
          <w:tcPr>
            <w:tcW w:w="3208" w:type="dxa"/>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1640" w:hRule="atLeast"/>
        </w:trPr>
        <w:tc>
          <w:tcPr>
            <w:tcW w:w="3643" w:type="dxa"/>
            <w:gridSpan w:val="2"/>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清算类型</w:t>
            </w:r>
          </w:p>
        </w:tc>
        <w:tc>
          <w:tcPr>
            <w:tcW w:w="4662" w:type="dxa"/>
            <w:gridSpan w:val="2"/>
            <w:tcBorders>
              <w:top w:val="nil"/>
              <w:left w:val="nil"/>
              <w:bottom w:val="nil"/>
              <w:right w:val="nil"/>
            </w:tcBorders>
            <w:noWrap w:val="0"/>
            <w:tcMar>
              <w:left w:w="108" w:type="dxa"/>
              <w:right w:w="108" w:type="dxa"/>
            </w:tcMar>
            <w:vAlign w:val="bottom"/>
          </w:tcPr>
          <w:p>
            <w:pPr>
              <w:widowControl/>
              <w:jc w:val="left"/>
              <w:textAlignment w:val="bottom"/>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□离岸信托终止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eastAsia="zh-CN" w:bidi="ar"/>
              </w:rPr>
              <w:t>离岸</w:t>
            </w:r>
            <w:r>
              <w:rPr>
                <w:rFonts w:hint="eastAsia" w:ascii="宋体" w:hAnsi="宋体" w:cs="宋体"/>
                <w:color w:val="000000"/>
                <w:kern w:val="0"/>
                <w:sz w:val="22"/>
                <w:szCs w:val="22"/>
                <w:lang w:bidi="ar"/>
              </w:rPr>
              <w:t>信托终止日期：  年  月  日</w:t>
            </w:r>
          </w:p>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eastAsia="zh-CN" w:bidi="ar"/>
              </w:rPr>
              <w:t>清算完成日期：</w:t>
            </w:r>
            <w:r>
              <w:rPr>
                <w:rFonts w:hint="eastAsia" w:ascii="宋体" w:hAnsi="宋体" w:cs="宋体"/>
                <w:color w:val="000000"/>
                <w:kern w:val="0"/>
                <w:sz w:val="22"/>
                <w:szCs w:val="22"/>
                <w:lang w:val="en-US" w:eastAsia="zh-CN" w:bidi="ar"/>
              </w:rPr>
              <w:t xml:space="preserve">      年  月  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□将财产装入离岸信托的居民个人死亡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居民个人死亡日期： 年  月  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□将财产装入离岸信托的居民个人转为非居民个人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转为非居民个人日期： 年  月  日</w:t>
            </w:r>
          </w:p>
        </w:tc>
      </w:tr>
      <w:tr>
        <w:tblPrEx>
          <w:tblLayout w:type="fixed"/>
          <w:tblCellMar>
            <w:top w:w="0" w:type="dxa"/>
            <w:left w:w="108" w:type="dxa"/>
            <w:bottom w:w="0" w:type="dxa"/>
            <w:right w:w="108" w:type="dxa"/>
          </w:tblCellMar>
        </w:tblPrEx>
        <w:trPr>
          <w:trHeight w:val="270" w:hRule="atLeast"/>
        </w:trPr>
        <w:tc>
          <w:tcPr>
            <w:tcW w:w="3643" w:type="dxa"/>
            <w:gridSpan w:val="2"/>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纳税人姓名：</w:t>
            </w:r>
          </w:p>
        </w:tc>
        <w:tc>
          <w:tcPr>
            <w:tcW w:w="1454" w:type="dxa"/>
            <w:tcBorders>
              <w:top w:val="nil"/>
              <w:left w:val="nil"/>
              <w:bottom w:val="nil"/>
              <w:right w:val="nil"/>
            </w:tcBorders>
            <w:noWrap/>
            <w:tcMar>
              <w:left w:w="108" w:type="dxa"/>
              <w:right w:w="108" w:type="dxa"/>
            </w:tcMar>
            <w:vAlign w:val="bottom"/>
          </w:tcPr>
          <w:p>
            <w:pPr>
              <w:jc w:val="center"/>
              <w:rPr>
                <w:rFonts w:hint="eastAsia" w:ascii="宋体" w:hAnsi="宋体" w:cs="宋体"/>
                <w:color w:val="000000"/>
                <w:sz w:val="22"/>
                <w:szCs w:val="22"/>
              </w:rPr>
            </w:pPr>
          </w:p>
        </w:tc>
        <w:tc>
          <w:tcPr>
            <w:tcW w:w="3208" w:type="dxa"/>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3643" w:type="dxa"/>
            <w:gridSpan w:val="2"/>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1454" w:type="dxa"/>
            <w:tcBorders>
              <w:top w:val="nil"/>
              <w:left w:val="nil"/>
              <w:bottom w:val="nil"/>
              <w:right w:val="nil"/>
            </w:tcBorders>
            <w:noWrap/>
            <w:tcMar>
              <w:left w:w="108" w:type="dxa"/>
              <w:right w:w="108" w:type="dxa"/>
            </w:tcMar>
            <w:vAlign w:val="bottom"/>
          </w:tcPr>
          <w:p>
            <w:pPr>
              <w:jc w:val="center"/>
              <w:rPr>
                <w:rFonts w:hint="eastAsia" w:ascii="宋体" w:hAnsi="宋体" w:cs="宋体"/>
                <w:color w:val="000000"/>
                <w:sz w:val="22"/>
                <w:szCs w:val="22"/>
              </w:rPr>
            </w:pPr>
          </w:p>
        </w:tc>
        <w:tc>
          <w:tcPr>
            <w:tcW w:w="3208" w:type="dxa"/>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610" w:hRule="atLeast"/>
        </w:trPr>
        <w:tc>
          <w:tcPr>
            <w:tcW w:w="3643" w:type="dxa"/>
            <w:gridSpan w:val="2"/>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4662" w:type="dxa"/>
            <w:gridSpan w:val="2"/>
            <w:tcBorders>
              <w:top w:val="nil"/>
              <w:left w:val="nil"/>
              <w:bottom w:val="nil"/>
              <w:right w:val="nil"/>
            </w:tcBorders>
            <w:noWrap w:val="0"/>
            <w:tcMar>
              <w:left w:w="108" w:type="dxa"/>
              <w:right w:w="108" w:type="dxa"/>
            </w:tcMar>
            <w:vAlign w:val="center"/>
          </w:tcPr>
          <w:p>
            <w:pPr>
              <w:widowControl/>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□将财产装入离岸信托的居民个人 </w:t>
            </w:r>
          </w:p>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□居民个人受益人  </w:t>
            </w:r>
          </w:p>
        </w:tc>
      </w:tr>
      <w:tr>
        <w:tblPrEx>
          <w:tblLayout w:type="fixed"/>
          <w:tblCellMar>
            <w:top w:w="0" w:type="dxa"/>
            <w:left w:w="108" w:type="dxa"/>
            <w:bottom w:w="0" w:type="dxa"/>
            <w:right w:w="108" w:type="dxa"/>
          </w:tblCellMar>
        </w:tblPrEx>
        <w:trPr>
          <w:trHeight w:val="441" w:hRule="atLeast"/>
        </w:trPr>
        <w:tc>
          <w:tcPr>
            <w:tcW w:w="5097" w:type="dxa"/>
            <w:gridSpan w:val="3"/>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由离岸信托受托人代为申报缴税</w:t>
            </w:r>
            <w:r>
              <w:rPr>
                <w:rFonts w:hint="eastAsia" w:ascii="宋体" w:hAnsi="宋体" w:cs="宋体"/>
                <w:color w:val="000000"/>
                <w:kern w:val="0"/>
                <w:sz w:val="22"/>
                <w:szCs w:val="22"/>
                <w:lang w:eastAsia="zh-CN" w:bidi="ar"/>
              </w:rPr>
              <w:t>：</w:t>
            </w:r>
          </w:p>
        </w:tc>
        <w:tc>
          <w:tcPr>
            <w:tcW w:w="3208"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345" w:hRule="atLeast"/>
        </w:trPr>
        <w:tc>
          <w:tcPr>
            <w:tcW w:w="5097" w:type="dxa"/>
            <w:gridSpan w:val="3"/>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由离岸信托受托人指定的境内机构代为申报缴税</w:t>
            </w:r>
            <w:r>
              <w:rPr>
                <w:rFonts w:hint="eastAsia" w:ascii="宋体" w:hAnsi="宋体" w:cs="宋体"/>
                <w:color w:val="000000"/>
                <w:kern w:val="0"/>
                <w:sz w:val="22"/>
                <w:szCs w:val="22"/>
                <w:lang w:eastAsia="zh-CN" w:bidi="ar"/>
              </w:rPr>
              <w:t>：</w:t>
            </w:r>
          </w:p>
        </w:tc>
        <w:tc>
          <w:tcPr>
            <w:tcW w:w="3208"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270" w:hRule="atLeast"/>
        </w:trPr>
        <w:tc>
          <w:tcPr>
            <w:tcW w:w="5097" w:type="dxa"/>
            <w:gridSpan w:val="3"/>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受托人或其指定的境内机构名称：</w:t>
            </w:r>
          </w:p>
        </w:tc>
        <w:tc>
          <w:tcPr>
            <w:tcW w:w="3208" w:type="dxa"/>
            <w:tcBorders>
              <w:top w:val="nil"/>
              <w:left w:val="nil"/>
              <w:bottom w:val="nil"/>
              <w:right w:val="nil"/>
            </w:tcBorders>
            <w:noWrap/>
            <w:tcMar>
              <w:left w:w="108" w:type="dxa"/>
              <w:right w:w="108" w:type="dxa"/>
            </w:tcMar>
            <w:vAlign w:val="bottom"/>
          </w:tcPr>
          <w:p>
            <w:pPr>
              <w:jc w:val="right"/>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5097" w:type="dxa"/>
            <w:gridSpan w:val="3"/>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受托人或其指定的境内机构纳税人识别号：</w:t>
            </w:r>
          </w:p>
        </w:tc>
        <w:tc>
          <w:tcPr>
            <w:tcW w:w="3208" w:type="dxa"/>
            <w:tcBorders>
              <w:top w:val="nil"/>
              <w:left w:val="nil"/>
              <w:bottom w:val="nil"/>
              <w:right w:val="nil"/>
            </w:tcBorders>
            <w:noWrap/>
            <w:tcMar>
              <w:left w:w="108" w:type="dxa"/>
              <w:right w:w="108" w:type="dxa"/>
            </w:tcMar>
            <w:vAlign w:val="bottom"/>
          </w:tcPr>
          <w:p>
            <w:pPr>
              <w:jc w:val="right"/>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60" w:hRule="atLeast"/>
        </w:trPr>
        <w:tc>
          <w:tcPr>
            <w:tcW w:w="5097" w:type="dxa"/>
            <w:gridSpan w:val="3"/>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r>
              <w:rPr>
                <w:rFonts w:hint="eastAsia" w:ascii="宋体" w:hAnsi="宋体" w:cs="宋体"/>
                <w:color w:val="000000"/>
                <w:kern w:val="0"/>
                <w:sz w:val="22"/>
                <w:szCs w:val="22"/>
                <w:lang w:bidi="ar"/>
              </w:rPr>
              <w:t>离岸信托编码：（系统</w:t>
            </w:r>
            <w:r>
              <w:rPr>
                <w:rFonts w:hint="eastAsia" w:ascii="宋体" w:hAnsi="宋体" w:cs="宋体"/>
                <w:color w:val="000000"/>
                <w:kern w:val="0"/>
                <w:sz w:val="22"/>
                <w:szCs w:val="22"/>
                <w:lang w:eastAsia="zh-CN" w:bidi="ar"/>
              </w:rPr>
              <w:t>带入</w:t>
            </w:r>
            <w:r>
              <w:rPr>
                <w:rFonts w:hint="eastAsia" w:ascii="宋体" w:hAnsi="宋体" w:cs="宋体"/>
                <w:color w:val="000000"/>
                <w:kern w:val="0"/>
                <w:sz w:val="22"/>
                <w:szCs w:val="22"/>
                <w:lang w:bidi="ar"/>
              </w:rPr>
              <w:t>）</w:t>
            </w:r>
          </w:p>
        </w:tc>
        <w:tc>
          <w:tcPr>
            <w:tcW w:w="3208" w:type="dxa"/>
            <w:tcBorders>
              <w:top w:val="nil"/>
              <w:left w:val="nil"/>
              <w:bottom w:val="nil"/>
              <w:right w:val="nil"/>
            </w:tcBorders>
            <w:noWrap/>
            <w:tcMar>
              <w:left w:w="108" w:type="dxa"/>
              <w:right w:w="108" w:type="dxa"/>
            </w:tcMar>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金额单位：人民币元（列至角分）</w:t>
            </w:r>
          </w:p>
        </w:tc>
      </w:tr>
      <w:tr>
        <w:tblPrEx>
          <w:tblLayout w:type="fixed"/>
          <w:tblCellMar>
            <w:top w:w="0" w:type="dxa"/>
            <w:left w:w="108" w:type="dxa"/>
            <w:bottom w:w="0" w:type="dxa"/>
            <w:right w:w="108" w:type="dxa"/>
          </w:tblCellMar>
        </w:tblPrEx>
        <w:trPr>
          <w:trHeight w:val="270" w:hRule="atLeast"/>
        </w:trPr>
        <w:tc>
          <w:tcPr>
            <w:tcW w:w="8305" w:type="dxa"/>
            <w:gridSpan w:val="4"/>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离岸信托名称：</w:t>
            </w:r>
          </w:p>
        </w:tc>
      </w:tr>
      <w:tr>
        <w:tblPrEx>
          <w:tblLayout w:type="fixed"/>
          <w:tblCellMar>
            <w:top w:w="0" w:type="dxa"/>
            <w:left w:w="108" w:type="dxa"/>
            <w:bottom w:w="0" w:type="dxa"/>
            <w:right w:w="108" w:type="dxa"/>
          </w:tblCellMar>
        </w:tblPrEx>
        <w:trPr>
          <w:trHeight w:val="860" w:hRule="atLeast"/>
        </w:trPr>
        <w:tc>
          <w:tcPr>
            <w:tcW w:w="8305" w:type="dxa"/>
            <w:gridSpan w:val="4"/>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当年1月1日</w:t>
            </w:r>
            <w:r>
              <w:rPr>
                <w:rFonts w:hint="eastAsia" w:ascii="宋体" w:hAnsi="宋体" w:cs="宋体"/>
                <w:color w:val="000000"/>
                <w:kern w:val="0"/>
                <w:sz w:val="22"/>
                <w:szCs w:val="22"/>
                <w:lang w:eastAsia="zh-CN" w:bidi="ar"/>
              </w:rPr>
              <w:t>至</w:t>
            </w:r>
            <w:r>
              <w:rPr>
                <w:rFonts w:hint="eastAsia" w:ascii="宋体" w:hAnsi="宋体" w:cs="宋体"/>
                <w:color w:val="000000"/>
                <w:kern w:val="0"/>
                <w:sz w:val="22"/>
                <w:szCs w:val="22"/>
                <w:lang w:bidi="ar"/>
              </w:rPr>
              <w:t>清算日</w:t>
            </w:r>
            <w:r>
              <w:rPr>
                <w:rFonts w:hint="eastAsia" w:ascii="宋体" w:hAnsi="宋体" w:cs="宋体"/>
                <w:color w:val="000000"/>
                <w:kern w:val="0"/>
                <w:sz w:val="22"/>
                <w:szCs w:val="22"/>
                <w:lang w:eastAsia="zh-CN" w:bidi="ar"/>
              </w:rPr>
              <w:t>期间</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w:t>
            </w:r>
            <w:r>
              <w:rPr>
                <w:rFonts w:hint="eastAsia" w:ascii="宋体" w:hAnsi="宋体" w:cs="宋体"/>
                <w:color w:val="000000"/>
                <w:kern w:val="0"/>
                <w:sz w:val="22"/>
                <w:szCs w:val="22"/>
                <w:lang w:eastAsia="zh-CN" w:bidi="ar"/>
              </w:rPr>
              <w:t>清算日是指</w:t>
            </w:r>
            <w:r>
              <w:rPr>
                <w:rFonts w:hint="eastAsia" w:ascii="宋体" w:hAnsi="宋体" w:cs="宋体"/>
                <w:color w:val="000000"/>
                <w:kern w:val="0"/>
                <w:sz w:val="22"/>
                <w:szCs w:val="22"/>
                <w:lang w:bidi="ar"/>
              </w:rPr>
              <w:t>离岸信托终止</w:t>
            </w:r>
            <w:r>
              <w:rPr>
                <w:rFonts w:hint="eastAsia" w:ascii="宋体" w:hAnsi="宋体" w:cs="宋体"/>
                <w:color w:val="000000"/>
                <w:kern w:val="0"/>
                <w:sz w:val="22"/>
                <w:szCs w:val="22"/>
                <w:lang w:eastAsia="zh-CN" w:bidi="ar"/>
              </w:rPr>
              <w:t>之</w:t>
            </w:r>
            <w:r>
              <w:rPr>
                <w:rFonts w:hint="eastAsia" w:ascii="宋体" w:hAnsi="宋体" w:cs="宋体"/>
                <w:color w:val="000000"/>
                <w:kern w:val="0"/>
                <w:sz w:val="22"/>
                <w:szCs w:val="22"/>
                <w:lang w:bidi="ar"/>
              </w:rPr>
              <w:t>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装入财产的居民个人转为非居民个人之日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w:t>
            </w:r>
            <w:r>
              <w:rPr>
                <w:rFonts w:hint="eastAsia" w:ascii="宋体" w:hAnsi="宋体" w:cs="宋体"/>
                <w:color w:val="000000"/>
                <w:kern w:val="0"/>
                <w:sz w:val="22"/>
                <w:szCs w:val="22"/>
                <w:lang w:eastAsia="zh-CN" w:bidi="ar"/>
              </w:rPr>
              <w:t>的</w:t>
            </w:r>
            <w:r>
              <w:rPr>
                <w:rFonts w:hint="eastAsia" w:ascii="宋体" w:hAnsi="宋体" w:cs="宋体"/>
                <w:color w:val="000000"/>
                <w:kern w:val="0"/>
                <w:sz w:val="22"/>
                <w:szCs w:val="22"/>
                <w:lang w:bidi="ar"/>
              </w:rPr>
              <w:t>居民个人死亡之日）收益个人所得税计算</w:t>
            </w:r>
          </w:p>
        </w:tc>
      </w:tr>
      <w:tr>
        <w:tblPrEx>
          <w:tblLayout w:type="fixed"/>
          <w:tblCellMar>
            <w:top w:w="0" w:type="dxa"/>
            <w:left w:w="108" w:type="dxa"/>
            <w:bottom w:w="0" w:type="dxa"/>
            <w:right w:w="108" w:type="dxa"/>
          </w:tblCellMar>
        </w:tblPrEx>
        <w:trPr>
          <w:trHeight w:val="270" w:hRule="atLeast"/>
        </w:trPr>
        <w:tc>
          <w:tcPr>
            <w:tcW w:w="3643"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行次</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金额</w:t>
            </w:r>
          </w:p>
        </w:tc>
      </w:tr>
      <w:tr>
        <w:tblPrEx>
          <w:tblLayout w:type="fixed"/>
          <w:tblCellMar>
            <w:top w:w="0" w:type="dxa"/>
            <w:left w:w="108" w:type="dxa"/>
            <w:bottom w:w="0" w:type="dxa"/>
            <w:right w:w="108" w:type="dxa"/>
          </w:tblCellMar>
        </w:tblPrEx>
        <w:trPr>
          <w:trHeight w:val="270" w:hRule="atLeast"/>
        </w:trPr>
        <w:tc>
          <w:tcPr>
            <w:tcW w:w="173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清算日前财产转让所得</w:t>
            </w: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转让收入</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5</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6</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已缴税额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7</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应补退税额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8</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清算日前利息、股息、红利所得</w:t>
            </w: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9</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10</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11</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已缴税额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12</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应补退税额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13</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00" w:hRule="atLeast"/>
        </w:trPr>
        <w:tc>
          <w:tcPr>
            <w:tcW w:w="8305" w:type="dxa"/>
            <w:gridSpan w:val="4"/>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清算收益个人所得税计算</w:t>
            </w:r>
          </w:p>
        </w:tc>
      </w:tr>
      <w:tr>
        <w:tblPrEx>
          <w:tblLayout w:type="fixed"/>
          <w:tblCellMar>
            <w:top w:w="0" w:type="dxa"/>
            <w:left w:w="108" w:type="dxa"/>
            <w:bottom w:w="0" w:type="dxa"/>
            <w:right w:w="108" w:type="dxa"/>
          </w:tblCellMar>
        </w:tblPrEx>
        <w:trPr>
          <w:trHeight w:val="270" w:hRule="atLeast"/>
        </w:trPr>
        <w:tc>
          <w:tcPr>
            <w:tcW w:w="3643"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行次</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金额</w:t>
            </w:r>
          </w:p>
        </w:tc>
      </w:tr>
      <w:tr>
        <w:tblPrEx>
          <w:tblLayout w:type="fixed"/>
          <w:tblCellMar>
            <w:top w:w="0" w:type="dxa"/>
            <w:left w:w="108" w:type="dxa"/>
            <w:bottom w:w="0" w:type="dxa"/>
            <w:right w:w="108" w:type="dxa"/>
          </w:tblCellMar>
        </w:tblPrEx>
        <w:trPr>
          <w:trHeight w:val="270" w:hRule="atLeast"/>
        </w:trPr>
        <w:tc>
          <w:tcPr>
            <w:tcW w:w="173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清算日利息、股息、红利所得</w:t>
            </w: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离岸信托财产市场价值</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14</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15</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16</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17</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18</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19</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已缴税额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20</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应补退税额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21</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890" w:hRule="atLeast"/>
        </w:trPr>
        <w:tc>
          <w:tcPr>
            <w:tcW w:w="8305" w:type="dxa"/>
            <w:gridSpan w:val="4"/>
            <w:tcBorders>
              <w:top w:val="single" w:color="000000" w:sz="4" w:space="0"/>
              <w:left w:val="single" w:color="000000" w:sz="4" w:space="0"/>
              <w:bottom w:val="single" w:color="000000" w:sz="4" w:space="0"/>
              <w:right w:val="single" w:color="000000" w:sz="4" w:space="0"/>
            </w:tcBorders>
            <w:noWrap/>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Layout w:type="fixed"/>
          <w:tblCellMar>
            <w:top w:w="0" w:type="dxa"/>
            <w:left w:w="108" w:type="dxa"/>
            <w:bottom w:w="0" w:type="dxa"/>
            <w:right w:w="108" w:type="dxa"/>
          </w:tblCellMar>
        </w:tblPrEx>
        <w:trPr>
          <w:trHeight w:val="1110" w:hRule="atLeast"/>
        </w:trPr>
        <w:tc>
          <w:tcPr>
            <w:tcW w:w="8305" w:type="dxa"/>
            <w:gridSpan w:val="4"/>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纳税人（受托人）签字：   年  月   日</w:t>
            </w:r>
          </w:p>
        </w:tc>
      </w:tr>
      <w:tr>
        <w:tblPrEx>
          <w:tblLayout w:type="fixed"/>
          <w:tblCellMar>
            <w:top w:w="0" w:type="dxa"/>
            <w:left w:w="108" w:type="dxa"/>
            <w:bottom w:w="0" w:type="dxa"/>
            <w:right w:w="108" w:type="dxa"/>
          </w:tblCellMar>
        </w:tblPrEx>
        <w:trPr>
          <w:trHeight w:val="1320" w:hRule="atLeast"/>
        </w:trPr>
        <w:tc>
          <w:tcPr>
            <w:tcW w:w="3643"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66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jc w:val="cente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《离岸信托清算个人所得税纳税申报表》填报说明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将财产装入离岸信托的居民个人转为非居民个人、居民个人将财产装入离岸信托终止、将财产装入离岸信托的居民个人死亡且离岸信托相关权益由其他非居民个人承继或无人承继、非居民个人将财产装入离岸信托终止取得信托财产的居民个人，按照税法规定在办理纳税申报时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eastAsia="仿宋_GB2312"/>
          <w:sz w:val="28"/>
          <w:szCs w:val="28"/>
        </w:rPr>
      </w:pPr>
      <w:r>
        <w:rPr>
          <w:rFonts w:hint="eastAsia" w:ascii="仿宋_GB2312" w:hAnsi="仿宋_GB2312" w:eastAsia="仿宋_GB2312" w:cs="仿宋_GB2312"/>
          <w:sz w:val="28"/>
          <w:szCs w:val="28"/>
        </w:rPr>
        <w:t>将财产装入离岸信托的居民个人转为非居民个人的，居民个人在转为非居民个人之日次月15日内向主管税务机关报送本表。居民个人将财产装入离岸信托终止的，居民个人</w:t>
      </w:r>
      <w:r>
        <w:rPr>
          <w:rFonts w:ascii="仿宋_GB2312" w:eastAsia="仿宋_GB2312"/>
          <w:sz w:val="28"/>
          <w:szCs w:val="28"/>
        </w:rPr>
        <w:t>在清算完成</w:t>
      </w:r>
      <w:r>
        <w:rPr>
          <w:rFonts w:hint="eastAsia" w:ascii="仿宋_GB2312" w:eastAsia="仿宋_GB2312"/>
          <w:sz w:val="28"/>
          <w:szCs w:val="28"/>
          <w:lang w:eastAsia="zh-CN"/>
        </w:rPr>
        <w:t>之日</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本表。非居民个人</w:t>
      </w:r>
      <w:r>
        <w:rPr>
          <w:rFonts w:hint="eastAsia" w:ascii="仿宋_GB2312" w:eastAsia="仿宋_GB2312"/>
          <w:sz w:val="28"/>
          <w:szCs w:val="28"/>
          <w:lang w:eastAsia="zh-CN"/>
        </w:rPr>
        <w:t>装入财产的离岸信托</w:t>
      </w:r>
      <w:r>
        <w:rPr>
          <w:rFonts w:hint="eastAsia" w:ascii="仿宋_GB2312" w:eastAsia="仿宋_GB2312"/>
          <w:sz w:val="28"/>
          <w:szCs w:val="28"/>
        </w:rPr>
        <w:t>终止时</w:t>
      </w:r>
      <w:r>
        <w:rPr>
          <w:rFonts w:hint="eastAsia" w:ascii="仿宋_GB2312" w:eastAsia="仿宋_GB2312"/>
          <w:sz w:val="28"/>
          <w:szCs w:val="28"/>
          <w:lang w:eastAsia="zh-CN"/>
        </w:rPr>
        <w:t>，</w:t>
      </w:r>
      <w:r>
        <w:rPr>
          <w:rFonts w:hint="eastAsia" w:ascii="仿宋_GB2312" w:eastAsia="仿宋_GB2312"/>
          <w:sz w:val="28"/>
          <w:szCs w:val="28"/>
        </w:rPr>
        <w:t>取得信托财产的居民个人在清算完成之日次月15日内向主管税务机关报送本表。</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的，离岸信托受托人</w:t>
      </w:r>
      <w:r>
        <w:rPr>
          <w:rFonts w:hint="eastAsia" w:ascii="仿宋_GB2312" w:eastAsia="仿宋_GB2312"/>
          <w:sz w:val="28"/>
          <w:szCs w:val="28"/>
        </w:rPr>
        <w:t>或其指定的境内机构在居民个人死亡</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eastAsia="仿宋_GB2312"/>
          <w:sz w:val="28"/>
          <w:szCs w:val="28"/>
        </w:rPr>
      </w:pPr>
      <w:r>
        <w:rPr>
          <w:rFonts w:hint="eastAsia" w:ascii="仿宋_GB2312" w:hAnsi="仿宋_GB2312" w:eastAsia="仿宋_GB2312" w:cs="仿宋_GB2312"/>
          <w:sz w:val="28"/>
          <w:szCs w:val="28"/>
        </w:rPr>
        <w:t>1.税款所属期：将财产装入离岸信托的居民个人转为非居民个人的，填报转为非居民个人</w:t>
      </w:r>
      <w:r>
        <w:rPr>
          <w:rFonts w:hint="eastAsia" w:ascii="仿宋_GB2312" w:hAnsi="仿宋_GB2312" w:eastAsia="仿宋_GB2312" w:cs="仿宋_GB2312"/>
          <w:sz w:val="28"/>
          <w:szCs w:val="28"/>
          <w:lang w:eastAsia="zh-CN"/>
        </w:rPr>
        <w:t>当年</w:t>
      </w:r>
      <w:r>
        <w:rPr>
          <w:rFonts w:hint="eastAsia" w:ascii="仿宋_GB2312" w:hAnsi="仿宋_GB2312" w:eastAsia="仿宋_GB2312" w:cs="仿宋_GB2312"/>
          <w:sz w:val="28"/>
          <w:szCs w:val="28"/>
        </w:rPr>
        <w:t>1月1日至转为非居民个人的日期；居民个人将财产装入离岸信托终止的，填报离岸信托终止当年1月1日至离岸信托终止</w:t>
      </w:r>
      <w:r>
        <w:rPr>
          <w:rFonts w:hint="eastAsia" w:ascii="仿宋_GB2312" w:hAnsi="仿宋_GB2312" w:eastAsia="仿宋_GB2312" w:cs="仿宋_GB2312"/>
          <w:sz w:val="28"/>
          <w:szCs w:val="28"/>
          <w:lang w:eastAsia="zh-CN"/>
        </w:rPr>
        <w:t>之</w:t>
      </w:r>
      <w:r>
        <w:rPr>
          <w:rFonts w:hint="eastAsia" w:ascii="仿宋_GB2312" w:hAnsi="仿宋_GB2312" w:eastAsia="仿宋_GB2312" w:cs="仿宋_GB2312"/>
          <w:sz w:val="28"/>
          <w:szCs w:val="28"/>
        </w:rPr>
        <w:t>日；</w:t>
      </w:r>
      <w:r>
        <w:rPr>
          <w:rFonts w:ascii="仿宋_GB2312" w:eastAsia="仿宋_GB2312"/>
          <w:sz w:val="28"/>
          <w:szCs w:val="28"/>
        </w:rPr>
        <w:t>居民个人将财产装入离岸信托后死亡</w:t>
      </w:r>
      <w:r>
        <w:rPr>
          <w:rFonts w:hint="eastAsia" w:ascii="仿宋_GB2312" w:eastAsia="仿宋_GB2312"/>
          <w:sz w:val="28"/>
          <w:szCs w:val="28"/>
        </w:rPr>
        <w:t>且离岸信托由非居民个人承继或者无人承继</w:t>
      </w:r>
      <w:r>
        <w:rPr>
          <w:rFonts w:ascii="仿宋_GB2312" w:eastAsia="仿宋_GB2312"/>
          <w:sz w:val="28"/>
          <w:szCs w:val="28"/>
        </w:rPr>
        <w:t>的，</w:t>
      </w:r>
      <w:r>
        <w:rPr>
          <w:rFonts w:hint="eastAsia" w:ascii="仿宋_GB2312" w:eastAsia="仿宋_GB2312"/>
          <w:sz w:val="28"/>
          <w:szCs w:val="28"/>
        </w:rPr>
        <w:t>填报</w:t>
      </w:r>
      <w:r>
        <w:rPr>
          <w:rFonts w:hint="eastAsia" w:ascii="仿宋_GB2312" w:eastAsia="仿宋_GB2312"/>
          <w:sz w:val="28"/>
          <w:szCs w:val="28"/>
          <w:lang w:eastAsia="zh-CN"/>
        </w:rPr>
        <w:t>居民个人</w:t>
      </w:r>
      <w:r>
        <w:rPr>
          <w:rFonts w:hint="eastAsia" w:ascii="仿宋_GB2312" w:eastAsia="仿宋_GB2312"/>
          <w:sz w:val="28"/>
          <w:szCs w:val="28"/>
        </w:rPr>
        <w:t>死亡当年1月1日至死亡之日。</w:t>
      </w:r>
      <w:r>
        <w:rPr>
          <w:rFonts w:hint="eastAsia" w:ascii="仿宋_GB2312" w:hAnsi="仿宋_GB2312" w:eastAsia="仿宋_GB2312" w:cs="仿宋_GB2312"/>
          <w:sz w:val="28"/>
          <w:szCs w:val="28"/>
        </w:rPr>
        <w:t>非居民个人将财产装入离岸信托终止取得信托财产的居民个人，填报取得信托财产当年1月1日至清算完成之日。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2.清算类型：根据纳税人情况勾选。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5.纳税人身份</w:t>
      </w:r>
      <w:r>
        <w:rPr>
          <w:rFonts w:hint="eastAsia" w:ascii="仿宋_GB2312" w:hAnsi="仿宋_GB2312" w:eastAsia="仿宋_GB2312" w:cs="仿宋_GB2312"/>
          <w:sz w:val="28"/>
          <w:szCs w:val="28"/>
          <w:lang w:eastAsia="zh-CN"/>
        </w:rPr>
        <w:t>类型</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eastAsia="zh-CN"/>
        </w:rPr>
        <w:t>纳税人</w:t>
      </w:r>
      <w:r>
        <w:rPr>
          <w:rFonts w:hint="eastAsia" w:ascii="仿宋_GB2312" w:hAnsi="仿宋_GB2312" w:eastAsia="仿宋_GB2312" w:cs="仿宋_GB2312"/>
          <w:sz w:val="28"/>
          <w:szCs w:val="28"/>
        </w:rPr>
        <w:t>情况勾选。勾选由受托人</w:t>
      </w:r>
      <w:r>
        <w:rPr>
          <w:rFonts w:hint="eastAsia" w:ascii="仿宋_GB2312" w:hAnsi="仿宋_GB2312" w:eastAsia="仿宋_GB2312" w:cs="仿宋_GB2312"/>
          <w:sz w:val="28"/>
          <w:szCs w:val="28"/>
          <w:lang w:eastAsia="zh-CN"/>
        </w:rPr>
        <w:t>或其指定的境内机构</w:t>
      </w:r>
      <w:r>
        <w:rPr>
          <w:rFonts w:hint="eastAsia" w:ascii="仿宋_GB2312" w:hAnsi="仿宋_GB2312" w:eastAsia="仿宋_GB2312" w:cs="仿宋_GB2312"/>
          <w:sz w:val="28"/>
          <w:szCs w:val="28"/>
        </w:rPr>
        <w:t>代为申报缴税的，需填报名称和纳税人识别号。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6.清算当年1月1日至离岸信托终止</w:t>
      </w:r>
      <w:r>
        <w:rPr>
          <w:rFonts w:hint="eastAsia" w:ascii="仿宋_GB2312" w:hAnsi="仿宋_GB2312" w:eastAsia="仿宋_GB2312" w:cs="仿宋_GB2312"/>
          <w:sz w:val="28"/>
          <w:szCs w:val="28"/>
          <w:lang w:eastAsia="zh-CN"/>
        </w:rPr>
        <w:t>之</w:t>
      </w:r>
      <w:r>
        <w:rPr>
          <w:rFonts w:hint="eastAsia" w:ascii="仿宋_GB2312" w:hAnsi="仿宋_GB2312" w:eastAsia="仿宋_GB2312" w:cs="仿宋_GB2312"/>
          <w:sz w:val="28"/>
          <w:szCs w:val="28"/>
        </w:rPr>
        <w:t>日（装入财产的居民个人转为非居民个人当日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装入财产居民个人死亡当日）收益个人所得税计算：将财产装入离岸信托的居民个人转为非居民个人的，填报转为非居民个人当年1月1日至转为非居民个人之日期间的收益情况。居民个人将财产装入离岸信托终止的，填报离岸信托终止当年1月1日至终止日期间产生的收益情况。将财产装入离岸信托的居民个人死亡且离岸信托相关权益由其他非居民个人承继或无人承继的，填报居民个人死亡当年1月1日至死亡之日期间的收益情况。非居民个人将财产装入离岸信托终止</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取得信托财产的居民个人不填报本项。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清算收益个人所得税计算：将财产装入离岸信托的居民个人转为非居民个人的，以转为非居民个人当日离岸信托财产的市场价值扣除原值后的余额计算。居民个人将财产装入离岸信托终止的，信托财产的清算收益为清算终止之日信托财产的市场价值扣除财产原值以及合理费用后的余额计算。居民个人将财产装入离岸信托后死亡，离岸信托由其他非居民个人承继或者无人承继的，以死亡当日信托财产市场价值扣除原值后的余额计算。非居民个人将财产装入离岸信托终止</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取得信托财产的居民个人按照取得的信托财产市场价值计算，不扣除财产原值</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费用。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纳税人、受托人</w:t>
      </w:r>
      <w:r>
        <w:rPr>
          <w:rFonts w:ascii="仿宋_GB2312" w:hAnsi="仿宋_GB2312" w:eastAsia="仿宋_GB2312" w:cs="仿宋_GB2312"/>
          <w:sz w:val="28"/>
          <w:szCs w:val="28"/>
        </w:rPr>
        <w:t>认为需要特别说明的或者按照有关规定需要说明的事项。</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WZT-EN">
    <w:altName w:val="宋体"/>
    <w:panose1 w:val="02000000000000000000"/>
    <w:charset w:val="86"/>
    <w:family w:val="auto"/>
    <w:pitch w:val="default"/>
    <w:sig w:usb0="0000000F" w:usb1="28810000" w:usb2="00000000" w:usb3="00000000" w:csb0="00140001" w:csb1="00000000"/>
  </w:font>
  <w:font w:name="方正小标宋_GBK">
    <w:altName w:val="微软雅黑"/>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JiT5gwwEAAHADAAAOAAAAAAAAAAEAIAAAAB4BAABkcnMvZTJvRG9jLnhtbFBL&#10;BQYAAAAABgAGAFkBAABTBQAAAAA=&#10;">
              <v:fill on="f" focussize="0,0"/>
              <v:stroke on="f"/>
              <v:imagedata o:title=""/>
              <o:lock v:ext="edit" aspectratio="f"/>
              <v:textbox inset="0mm,0mm,0mm,0mm" style="mso-fit-shape-to-text:t;">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6A08B4"/>
    <w:rsid w:val="00E32860"/>
    <w:rsid w:val="0FF589D0"/>
    <w:rsid w:val="175F3DFB"/>
    <w:rsid w:val="1CC901BE"/>
    <w:rsid w:val="2BFF430E"/>
    <w:rsid w:val="2ECF032B"/>
    <w:rsid w:val="3DFDF167"/>
    <w:rsid w:val="3FD369DD"/>
    <w:rsid w:val="3FDBD497"/>
    <w:rsid w:val="5CFF0E07"/>
    <w:rsid w:val="5FD7BF7B"/>
    <w:rsid w:val="665D7DAB"/>
    <w:rsid w:val="6DFF3D28"/>
    <w:rsid w:val="73AD6D46"/>
    <w:rsid w:val="75FB0DEA"/>
    <w:rsid w:val="777FA11A"/>
    <w:rsid w:val="7915E499"/>
    <w:rsid w:val="7971B614"/>
    <w:rsid w:val="7BFC5BBC"/>
    <w:rsid w:val="7C9F7678"/>
    <w:rsid w:val="7DFFB0C5"/>
    <w:rsid w:val="7EEB0AE5"/>
    <w:rsid w:val="8EEFB258"/>
    <w:rsid w:val="97FF76F1"/>
    <w:rsid w:val="AFFBC8B6"/>
    <w:rsid w:val="BBFFCFE9"/>
    <w:rsid w:val="BEF5DD31"/>
    <w:rsid w:val="D9EAF856"/>
    <w:rsid w:val="DEFEDAC6"/>
    <w:rsid w:val="DF1B57F2"/>
    <w:rsid w:val="DF55D2A1"/>
    <w:rsid w:val="EBF665C4"/>
    <w:rsid w:val="EDBF1AA0"/>
    <w:rsid w:val="EDFE12E2"/>
    <w:rsid w:val="EF4D7860"/>
    <w:rsid w:val="F4EEFB6F"/>
    <w:rsid w:val="F5AF178A"/>
    <w:rsid w:val="F5FDB7B9"/>
    <w:rsid w:val="F5FFBBA4"/>
    <w:rsid w:val="F9BF954C"/>
    <w:rsid w:val="FBF0F658"/>
    <w:rsid w:val="FDD2E31A"/>
    <w:rsid w:val="FDEF7E10"/>
    <w:rsid w:val="FF7A1FEA"/>
    <w:rsid w:val="FFBE1C7D"/>
    <w:rsid w:val="FFCB32B1"/>
    <w:rsid w:val="FFF9FB21"/>
    <w:rsid w:val="FFFF1B8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337</Words>
  <Characters>1927</Characters>
  <Lines>16</Lines>
  <Paragraphs>4</Paragraphs>
  <TotalTime>0</TotalTime>
  <ScaleCrop>false</ScaleCrop>
  <LinksUpToDate>false</LinksUpToDate>
  <CharactersWithSpaces>2260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2026-07-16T01:12:00Z</dcterms:created>
  <dc:creator>羊坊店</dc:creator>
  <cp:lastModifiedBy>Administrator</cp:lastModifiedBy>
  <cp:lastPrinted>2026-07-24T18:56:39Z</cp:lastPrinted>
  <dcterms:modified xsi:type="dcterms:W3CDTF">2026-07-27T00:55:12Z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E27B2518EF315645FDEC4E6A82E4320C_43</vt:lpwstr>
  </property>
</Properties>
</file>